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仿宋_GB2312" w:cs="仿宋_GB2312"/>
          <w:b/>
          <w:bCs/>
          <w:color w:val="000000"/>
          <w:sz w:val="40"/>
          <w:szCs w:val="40"/>
        </w:rPr>
      </w:pPr>
      <w:r>
        <w:rPr>
          <w:rFonts w:hint="default" w:ascii="Times New Roman" w:hAnsi="Times New Roman" w:eastAsia="仿宋_GB2312" w:cs="仿宋_GB2312"/>
          <w:b/>
          <w:bCs/>
          <w:color w:val="000000"/>
          <w:sz w:val="40"/>
          <w:szCs w:val="40"/>
        </w:rPr>
        <w:t>《汕头市综合交通规划（2021-2035年）》</w:t>
      </w:r>
    </w:p>
    <w:p>
      <w:pPr>
        <w:spacing w:line="600" w:lineRule="exact"/>
        <w:jc w:val="center"/>
        <w:rPr>
          <w:rFonts w:hint="default" w:ascii="Times New Roman" w:hAnsi="Times New Roman" w:eastAsia="仿宋_GB2312" w:cs="仿宋_GB2312"/>
          <w:b/>
          <w:bCs/>
          <w:color w:val="000000"/>
          <w:sz w:val="40"/>
          <w:szCs w:val="40"/>
        </w:rPr>
      </w:pPr>
      <w:r>
        <w:rPr>
          <w:rFonts w:hint="default" w:ascii="Times New Roman" w:hAnsi="Times New Roman" w:eastAsia="仿宋_GB2312" w:cs="仿宋_GB2312"/>
          <w:b/>
          <w:bCs/>
          <w:color w:val="000000"/>
          <w:sz w:val="40"/>
          <w:szCs w:val="40"/>
        </w:rPr>
        <w:t>主要内容与政策解读</w:t>
      </w:r>
    </w:p>
    <w:p>
      <w:pPr>
        <w:pStyle w:val="2"/>
        <w:rPr>
          <w:rFonts w:hint="eastAsia"/>
        </w:rPr>
      </w:pPr>
      <w:bookmarkStart w:id="0" w:name="_GoBack"/>
      <w:bookmarkEnd w:id="0"/>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市委、市政府工作部署，为充分发挥综合交通规划的支撑引领作用，谋划新时代可持续发展的汕头市综合交通网络体系，支撑汕头“国家经济特区、省域副中心城市、全国性综合交通枢纽城市”的建设，汕头市自然资源局组织编制《汕头市综合交通规划（2021-2035年）》（以下简称《规划》）。现对有关内容解读如下：</w:t>
      </w:r>
    </w:p>
    <w:p>
      <w:pPr>
        <w:spacing w:line="600" w:lineRule="exact"/>
        <w:ind w:firstLine="643" w:firstLineChars="200"/>
        <w:rPr>
          <w:rFonts w:hint="default" w:ascii="Times New Roman" w:hAnsi="Times New Roman" w:eastAsia="仿宋_GB2312" w:cs="仿宋_GB2312"/>
          <w:b/>
          <w:bCs/>
          <w:sz w:val="32"/>
          <w:szCs w:val="32"/>
        </w:rPr>
      </w:pPr>
      <w:r>
        <w:rPr>
          <w:rFonts w:hint="default" w:ascii="Times New Roman" w:hAnsi="Times New Roman" w:eastAsia="仿宋_GB2312" w:cs="仿宋_GB2312"/>
          <w:b/>
          <w:bCs/>
          <w:sz w:val="32"/>
          <w:szCs w:val="32"/>
        </w:rPr>
        <w:t>一、《规划》编制意义</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综合交通规划是宏观统筹城市对外交通与内部交通各系统的资源配置和空间安排、注重交通—空间—产业协调发展的一项宏观性、战略性和全局性规划。《规划》立足汕头作为国家经济特区、省域副中心城市、粤东中心城市的战略定位，为高质量提升城市能级和核心竞争力，构建以汕头为中心的1小时交通圈，统筹谋划重大基础设施布局，完善都市圈互联互通网络，构建绿色集约可持续的城市交通体系，实现区域交通韧性更强、同城通勤效率更高，内部出行品质更优，有力支撑汕头建设成为高端资源要素集聚、重要功能作用叠加、引领辐射作用彰显的核心引擎城市。</w:t>
      </w:r>
    </w:p>
    <w:p>
      <w:pPr>
        <w:numPr>
          <w:ilvl w:val="0"/>
          <w:numId w:val="1"/>
        </w:num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《规划》主要内容</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规划》系统梳理分析汕头市综合交通特征与问题，制定我市交通发展目标和策略，从区域对外交通、都市圈互联交通、城市道路系统、公共交通系统、停车系统规划和近期交通建设计划等多维度全方位谋划我市交通未来蓝图。</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规划期限为2021年至2035年，重大基础设施展望至2050年；规划范围为汕头市域，拓展研究范围汕潮揭都市圈至广东省。</w:t>
      </w:r>
    </w:p>
    <w:p>
      <w:p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（一）对外交通体系</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三大枢纽”为发展驱动、以“双高体系”为骨干支撑，实现“航空5小时覆盖国内主要城市和东南亚主要城市、高铁5小时覆盖长三角、长江中游、黔中、北部湾城市群重要城市、高铁2小时通达粤港澳大湾区和粤闽浙沿海城市群”的“552”出行交通圈，全力打造高水平全国性综合交通枢纽城市。</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港口方面，完善“一港七区”功能布局（即广澳港区、海门港区、田心港区、国际邮轮港、南澳港区、关埠港区、西胪港区），发展国际邮轮港，完善港口多式联运，提升核心港区能级。</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铁路方面，构建“3+2+2”多维多向的高铁通道格局（“3”即西向3条通道：汕汕铁路+广汕铁路+广湛铁路，厦深高铁+深南高铁，汕头经河源至韶关高铁+韶柳高铁+贵广高铁；“2”即东向2条通道：汕河高铁+赣深高铁，汕头经河源至韶关高铁+武广高铁；“2”即北向2条通道：汕漳高铁+福厦铁路，梅汕铁路+龙梅铁路+南三龙铁路+合福铁路），打造“1主2辅多节点”高铁枢纽（“1主”即汕头站，“2辅”即汕头东站、汕头西站，“多节点”即潮阳站、潮南站、汕头南站等），实现区区通高铁，分区进站、就近乘车。</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航空方面，完善潮汕国际机场集疏运系统，提升汕头与机场衔接效率，积极培育低空经济新赛道。</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高速公路方面，完善以汕头为中心的“5+3+3”高速公路通道格局（“5”即西向5条通道：沈海高速、汕头至汕尾高速、汕湛高速、潮汕环线高速—甬莞高速、汕昆高速；“3”即东向3条通道：汕饶高速—龙云高速、沈海高速、甬莞高速；“3”即北向3条通道：汕昆高速—武深高速、汕汾高速联络线—潮州至南昌高速、南澳第二通道—大潮高速及南延线—济广高速），打造东南沿海的国家公路主枢纽。</w:t>
      </w:r>
    </w:p>
    <w:p>
      <w:p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（二）区域交通体系</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构建以“城际轨道+都市圈快速干线”为直连直通的网络支撑，打造汕潮揭都市圈“1小时交通圈”和三市中心城区“30分钟通勤圈”。</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际铁路方面，构建“一环四射”公交化运营的同城化城际网络（“一环”即粤东城际东环段、粤东城际机场段，加强三市中心城区轨道直连效率；“四射”即揭阳至潮汕机场城际、汕头至普宁城际、机场至潮南站城际、揭阳南至揭西城际），打造城际轨道上的都市圈。</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快速干线方面，新增都市圈快速干线系统，构建三市中心城区双通道系统，实现三市中心直连直通。</w:t>
      </w:r>
    </w:p>
    <w:p>
      <w:p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（三）城市交通体系</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客、货运枢纽”为城市功能空间组织的锚点，以“快速路+轨道”双快系统为城市交通骨架，以“公共交通与货运物流系统”为运输网络为主体，打造“15分钟通达高速，45分钟外围可达中心区，60分钟重要组团道路互通”的“15-45-60”市域出行交通圈，支撑国土空间拓展与产业战略布局。</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客运枢纽方面，规划布局“2+7+14”城市客运枢纽体系（“2”即2个一级枢纽：潮汕国际机场枢纽、汕头站枢纽；“7”即7个二级枢纽：汕头东站枢纽、汕头西站枢纽、汕头南站枢纽、潮阳站枢纽、潮南站枢纽、内海湾客运港枢纽、南澳客运港枢纽；“14”即14个三级枢纽：时代广场站枢纽、龙湖附中站枢纽、汽车总站枢纽、潮人码头站枢纽、东海岸新城枢纽、赖厝站枢纽、南滨站枢纽、濠江客运站枢纽、保税区公交枢纽、澄海区城际站枢纽、莲阳公交枢纽、东里樟东公交枢纽、潮阳区城际站枢纽、两英客运站枢纽），支撑城市空间拓展。</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货运枢纽方面，规划布局“2+8+10”的三级货运枢纽体系（“2”即2个国际性货运枢纽：潮汕国际航空货运枢纽、广澳国际航运货运物流枢纽；“8”即8个区域性货运枢纽：汕头北站货运枢纽、海门港货运枢纽、两英货运枢纽、谷饶货运枢纽、莲塘货运枢纽、宝奥货运枢纽、六合货运枢纽、南澳货运枢纽；“10”即10个城市物流中心：樟东物流中心、上华物流中心、月浦物流中心、棉北物流中心、井都物流中心、金浦物流中心、粤东冷链物流中心、司马物流中心、关埠物流中心、西胪物流中心），支撑城市产业发展格局。</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骨架路网方面，完善“四环十六射”市域骨架路网（“四环”即由沈海高速—汕昆高速—潮汕环线高速—汕湛高速构成的高速一环，由汕饶高速联络线—潮汕环线高速—西部加密线构成的高速二环，由黄河路—泰山路—南滨南路—西港路构成的快速一环，由滨砂路—粤东快速干道—牛田洋快速通道—环市东路构成的快速二环；“十六射”即沈海高速、汕南大道、G324—S237、汕湛高速、汕头至汕尾高速、潮汕环线联络线北延线、潮汕环线联络线—甬莞高速、金凤西路、汕昆高速、粤东快速干道、S505、沈海高速、汕北大道、汕头至饶平高速通道、中阳大道等），完善内海湾两岸交通联系，提高道路系统整体承载力。</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城市轨道方面，分阶段谋划推进轨道交通建设，支持城市公共交通优先发展战略。</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常规公交方面，建立便捷公交网络体系，保障公交站场设施用地，提升常规公交竞争力。</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慢行交通方面，以人为本，打造“多链成网”“多道合一”城市步行和非机动车网络格局，建设步行和自行车友好城市。</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停车交通方面，加强停车设施规划管理，完善公共停车场布局，发展城市智慧停车，加大停车供给水平。</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交通管理方面，推进交通管理精细化，保障交通系统高效安全运行。</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智慧交通方面，加快智慧交通体系建设，强化智慧出行服务。</w:t>
      </w:r>
    </w:p>
    <w:p>
      <w:pPr>
        <w:numPr>
          <w:ilvl w:val="0"/>
          <w:numId w:val="1"/>
        </w:numPr>
        <w:spacing w:line="60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实施保障</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《规划》与</w:t>
      </w:r>
      <w:r>
        <w:rPr>
          <w:rFonts w:hint="eastAsia" w:ascii="Times New Roman" w:hAnsi="Times New Roman" w:eastAsia="仿宋_GB2312" w:cs="Times New Roman"/>
          <w:color w:val="000000"/>
          <w:sz w:val="32"/>
          <w:szCs w:val="32"/>
          <w:lang w:val="en-US" w:eastAsia="zh-CN"/>
        </w:rPr>
        <w:t>市、县级</w:t>
      </w:r>
      <w:r>
        <w:rPr>
          <w:rFonts w:hint="default" w:ascii="Times New Roman" w:hAnsi="Times New Roman" w:eastAsia="仿宋_GB2312" w:cs="Times New Roman"/>
          <w:color w:val="000000"/>
          <w:sz w:val="32"/>
          <w:szCs w:val="32"/>
        </w:rPr>
        <w:t>国土空间</w:t>
      </w:r>
      <w:r>
        <w:rPr>
          <w:rFonts w:hint="eastAsia" w:ascii="Times New Roman" w:hAnsi="Times New Roman" w:eastAsia="仿宋_GB2312" w:cs="Times New Roman"/>
          <w:color w:val="000000"/>
          <w:sz w:val="32"/>
          <w:szCs w:val="32"/>
          <w:lang w:val="en-US" w:eastAsia="zh-CN"/>
        </w:rPr>
        <w:t>总体</w:t>
      </w:r>
      <w:r>
        <w:rPr>
          <w:rFonts w:hint="default" w:ascii="Times New Roman" w:hAnsi="Times New Roman" w:eastAsia="仿宋_GB2312" w:cs="Times New Roman"/>
          <w:color w:val="000000"/>
          <w:sz w:val="32"/>
          <w:szCs w:val="32"/>
        </w:rPr>
        <w:t>规划充分衔接，对重大交通基础设施用地进行预留和管控，并对接我市国民经济和社会发展第十五个五年规划纲要交通基础设施重点项目，加强规划落地实施。同时，《规划》明确近期实施重点，优先推进枢纽能级提升、区域通道建设、都市圈互联互通等一批重大交通基础设施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D7B43"/>
    <w:multiLevelType w:val="singleLevel"/>
    <w:tmpl w:val="761D7B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937C4"/>
    <w:rsid w:val="01D937C4"/>
    <w:rsid w:val="6EC1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Calibri" w:hAnsi="Calibri" w:eastAsia="仿宋_GB2312" w:cs="Times New Roman"/>
      <w:sz w:val="32"/>
      <w:szCs w:val="32"/>
    </w:r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2026-05-04T05:29:00Z</dcterms:created>
  <dc:creator>wusha</dc:creator>
  <cp:lastModifiedBy>wusha</cp:lastModifiedBy>
  <dcterms:modified xsi:type="dcterms:W3CDTF">2026-05-04T05:34:18Z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8B5D55FC1BDC4DAFB3F91E15CE93FE02</vt:lpwstr>
  </property>
</Properties>
</file>