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0" w:beforeAutospacing="0" w:after="0" w:line="240" w:lineRule="atLeast"/>
        <w:ind w:left="1100" w:hanging="1100" w:hangingChars="250"/>
        <w:jc w:val="center"/>
        <w:rPr>
          <w:rFonts w:ascii="公文小标宋简" w:hAnsi="公文小标宋简" w:eastAsia="公文小标宋简" w:cs="公文小标宋简"/>
          <w:sz w:val="44"/>
          <w:szCs w:val="44"/>
        </w:rPr>
      </w:pPr>
      <w:r>
        <w:rPr>
          <w:rFonts w:hint="eastAsia" w:ascii="公文小标宋简" w:hAnsi="公文小标宋简" w:eastAsia="公文小标宋简" w:cs="公文小标宋简"/>
          <w:sz w:val="44"/>
          <w:szCs w:val="44"/>
        </w:rPr>
        <w:t>关于进一步加强汕头市政府投资房屋</w:t>
      </w:r>
    </w:p>
    <w:p>
      <w:pPr>
        <w:shd w:val="clear" w:color="auto" w:fill="FFFFFF"/>
        <w:spacing w:before="0" w:beforeAutospacing="0" w:after="0" w:line="240" w:lineRule="atLeast"/>
        <w:ind w:left="1100" w:hanging="1100" w:hangingChars="250"/>
        <w:jc w:val="center"/>
        <w:rPr>
          <w:rFonts w:ascii="公文小标宋简" w:hAnsi="公文小标宋简" w:eastAsia="公文小标宋简" w:cs="公文小标宋简"/>
          <w:sz w:val="44"/>
          <w:szCs w:val="44"/>
        </w:rPr>
      </w:pPr>
      <w:r>
        <w:rPr>
          <w:rFonts w:hint="eastAsia" w:ascii="公文小标宋简" w:hAnsi="公文小标宋简" w:eastAsia="公文小标宋简" w:cs="公文小标宋简"/>
          <w:sz w:val="44"/>
          <w:szCs w:val="44"/>
        </w:rPr>
        <w:t>建筑和市政公用工程招标投标</w:t>
      </w:r>
    </w:p>
    <w:p>
      <w:pPr>
        <w:shd w:val="clear" w:color="auto" w:fill="FFFFFF"/>
        <w:spacing w:before="0" w:beforeAutospacing="0" w:after="0" w:line="240" w:lineRule="atLeast"/>
        <w:ind w:left="1100" w:hanging="1100" w:hangingChars="250"/>
        <w:jc w:val="center"/>
        <w:rPr>
          <w:rFonts w:ascii="公文小标宋简" w:hAnsi="公文小标宋简" w:eastAsia="公文小标宋简" w:cs="公文小标宋简"/>
          <w:sz w:val="44"/>
          <w:szCs w:val="44"/>
        </w:rPr>
      </w:pPr>
      <w:r>
        <w:rPr>
          <w:rFonts w:hint="eastAsia" w:ascii="公文小标宋简" w:hAnsi="公文小标宋简" w:eastAsia="公文小标宋简" w:cs="公文小标宋简"/>
          <w:sz w:val="44"/>
          <w:szCs w:val="44"/>
        </w:rPr>
        <w:t>管理工作的意见</w:t>
      </w:r>
    </w:p>
    <w:p>
      <w:pPr>
        <w:shd w:val="clear" w:color="auto" w:fill="FFFFFF"/>
        <w:spacing w:before="0" w:beforeAutospacing="0" w:after="0" w:line="240" w:lineRule="atLeast"/>
        <w:ind w:left="800" w:hanging="800" w:hangingChars="250"/>
        <w:jc w:val="center"/>
        <w:rPr>
          <w:rFonts w:ascii="楷体" w:hAnsi="楷体" w:eastAsia="楷体" w:cs="宋体"/>
          <w:color w:val="333333"/>
          <w:kern w:val="0"/>
          <w:sz w:val="32"/>
          <w:szCs w:val="32"/>
        </w:rPr>
      </w:pPr>
      <w:r>
        <w:rPr>
          <w:rFonts w:hint="eastAsia" w:ascii="楷体" w:hAnsi="楷体" w:eastAsia="楷体"/>
          <w:sz w:val="32"/>
          <w:szCs w:val="32"/>
        </w:rPr>
        <w:t>（征求意见稿）</w:t>
      </w:r>
    </w:p>
    <w:p>
      <w:pPr>
        <w:shd w:val="clear" w:color="auto" w:fill="FFFFFF"/>
        <w:spacing w:before="0" w:beforeAutospacing="0" w:after="0" w:line="240" w:lineRule="atLeast"/>
        <w:ind w:firstLine="160"/>
        <w:jc w:val="center"/>
        <w:rPr>
          <w:rFonts w:ascii="仿宋" w:hAnsi="仿宋" w:eastAsia="仿宋" w:cs="宋体"/>
          <w:color w:val="333333"/>
          <w:kern w:val="0"/>
          <w:sz w:val="32"/>
          <w:szCs w:val="32"/>
        </w:rPr>
      </w:pPr>
    </w:p>
    <w:p>
      <w:pPr>
        <w:shd w:val="clear" w:color="auto"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为做好我市政府投资的房屋建筑和市政公用工程招标投标监督管理工作，进一步规范我市招标投标活动，落实公平、公正、公开、择优和诚实信用原则，推动汕头建筑市场健康发展。根据《中华人民共和国招标投标法》、《中华人民共和国招标投标法实施条例》、《广东省实施〈中华人民共和国招标投标法〉办法》、《汕头经济特区政府投资项目管理条例》等法律法规，以及《国务院办公厅转发发展改革委监察部等部门关于解决当前政府投资工程建设中带有普遍性问题意见的通知》（国办发〔</w:t>
      </w:r>
      <w:r>
        <w:rPr>
          <w:rFonts w:ascii="仿宋" w:hAnsi="仿宋" w:eastAsia="仿宋"/>
          <w:sz w:val="32"/>
          <w:szCs w:val="32"/>
        </w:rPr>
        <w:t>2010</w:t>
      </w:r>
      <w:r>
        <w:rPr>
          <w:rFonts w:hint="eastAsia" w:ascii="仿宋" w:hAnsi="仿宋" w:eastAsia="仿宋"/>
          <w:sz w:val="32"/>
          <w:szCs w:val="32"/>
        </w:rPr>
        <w:t>〕</w:t>
      </w:r>
      <w:r>
        <w:rPr>
          <w:rFonts w:ascii="仿宋" w:hAnsi="仿宋" w:eastAsia="仿宋"/>
          <w:sz w:val="32"/>
          <w:szCs w:val="32"/>
        </w:rPr>
        <w:t>41</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lang w:val="en-US" w:eastAsia="zh-CN"/>
        </w:rPr>
        <w:t>《房屋建筑和市政基础设施项目工程总承</w:t>
      </w:r>
      <w:bookmarkStart w:id="0" w:name="_GoBack"/>
      <w:bookmarkEnd w:id="0"/>
      <w:r>
        <w:rPr>
          <w:rFonts w:hint="eastAsia" w:ascii="仿宋" w:hAnsi="仿宋" w:eastAsia="仿宋"/>
          <w:sz w:val="32"/>
          <w:szCs w:val="32"/>
          <w:lang w:val="en-US" w:eastAsia="zh-CN"/>
        </w:rPr>
        <w:t>包管理办法》（建市规〔2019〕12号）</w:t>
      </w:r>
      <w:r>
        <w:rPr>
          <w:rFonts w:hint="eastAsia" w:ascii="仿宋" w:hAnsi="仿宋" w:eastAsia="仿宋"/>
          <w:sz w:val="32"/>
          <w:szCs w:val="32"/>
          <w:lang w:val="en-US" w:eastAsia="zh-CN"/>
        </w:rPr>
        <w:t>和</w:t>
      </w:r>
      <w:r>
        <w:rPr>
          <w:rFonts w:hint="eastAsia" w:ascii="仿宋" w:hAnsi="仿宋" w:eastAsia="仿宋"/>
          <w:sz w:val="32"/>
          <w:szCs w:val="32"/>
        </w:rPr>
        <w:t>《关于开展建设工程保证保险有关工作的通知》（粤建规范〔2018</w:t>
      </w:r>
      <w:r>
        <w:rPr>
          <w:rFonts w:hint="eastAsia" w:ascii="仿宋" w:hAnsi="仿宋" w:eastAsia="仿宋"/>
          <w:sz w:val="32"/>
          <w:szCs w:val="32"/>
        </w:rPr>
        <w:t>〕2</w:t>
      </w:r>
      <w:r>
        <w:rPr>
          <w:rFonts w:hint="eastAsia" w:ascii="仿宋" w:hAnsi="仿宋" w:eastAsia="仿宋"/>
          <w:sz w:val="32"/>
          <w:szCs w:val="32"/>
        </w:rPr>
        <w:t>号）等文件精神，结合我市实际，提出如下意见：</w:t>
      </w:r>
    </w:p>
    <w:p>
      <w:pPr>
        <w:shd w:val="clear" w:color="auto" w:fill="FFFFFF"/>
        <w:spacing w:before="0" w:beforeAutospacing="0" w:after="0" w:line="600" w:lineRule="exact"/>
        <w:ind w:firstLine="640" w:firstLineChars="200"/>
        <w:rPr>
          <w:rFonts w:ascii="黑体" w:hAnsi="黑体" w:eastAsia="黑体" w:cs="黑体"/>
          <w:bCs/>
          <w:color w:val="333333"/>
          <w:kern w:val="0"/>
          <w:sz w:val="32"/>
          <w:szCs w:val="32"/>
        </w:rPr>
      </w:pPr>
      <w:r>
        <w:rPr>
          <w:rFonts w:hint="eastAsia" w:ascii="黑体" w:hAnsi="黑体" w:eastAsia="黑体" w:cs="黑体"/>
          <w:bCs/>
          <w:kern w:val="0"/>
          <w:sz w:val="32"/>
          <w:szCs w:val="32"/>
        </w:rPr>
        <w:t>一、规范建设工程投标人资格条件设置</w:t>
      </w:r>
    </w:p>
    <w:p>
      <w:pPr>
        <w:shd w:val="clear" w:color="auto" w:fill="FFFFFF"/>
        <w:spacing w:before="0" w:beforeAutospacing="0" w:after="0" w:line="600" w:lineRule="exact"/>
        <w:ind w:firstLine="160"/>
        <w:rPr>
          <w:rFonts w:ascii="仿宋" w:hAnsi="仿宋" w:eastAsia="仿宋"/>
          <w:sz w:val="32"/>
          <w:szCs w:val="32"/>
        </w:rPr>
      </w:pPr>
      <w:r>
        <w:rPr>
          <w:rFonts w:hint="eastAsia" w:ascii="楷体" w:hAnsi="楷体" w:eastAsia="楷体" w:cs="楷体"/>
          <w:sz w:val="32"/>
          <w:szCs w:val="32"/>
        </w:rPr>
        <w:t xml:space="preserve"> </w:t>
      </w:r>
      <w:r>
        <w:rPr>
          <w:rFonts w:hint="eastAsia" w:ascii="仿宋" w:hAnsi="仿宋" w:eastAsia="仿宋"/>
          <w:sz w:val="32"/>
          <w:szCs w:val="32"/>
        </w:rPr>
        <w:t>（一）招标人应当按照招标工程最低要求设置投标人资格条件。工程招标在工程所需的企业资质、安全生产许可证、项目负责人（建造师）执业资格三个方面，按最低要求设置投标人的资格条件。</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（二）禁止以下列不合理条件限制或者排斥潜在投标人参加投标：</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提高资质等级、缩小资质类别范围、同时设置总承包资质和总承包资质范围内某些专业工程资质要求的；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在资格条件中提出除项目负责人（建造师）外的其他人员资格要求，或对项目负责人（建造师）提出执业资格和安全生产培训考核资格以外要求的；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不允许联合体投标的（项目要求单一专业资质等级的除外）；</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将不同类型的总承包工程捆绑招标的；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在资格预审阶段要求总承包投标人确定分包企业的；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在本条第（一）款规定的资格条件外设置其他资格条件的；</w:t>
      </w:r>
    </w:p>
    <w:p>
      <w:pPr>
        <w:shd w:val="clear" w:color="000000" w:fill="FFFFFF"/>
        <w:spacing w:before="0" w:beforeAutospacing="0" w:after="0" w:line="600" w:lineRule="exact"/>
        <w:ind w:firstLine="640" w:firstLineChars="200"/>
        <w:rPr>
          <w:rFonts w:ascii="仿宋" w:hAnsi="仿宋" w:eastAsia="仿宋" w:cs="宋体"/>
          <w:color w:val="333333"/>
          <w:kern w:val="0"/>
          <w:sz w:val="32"/>
          <w:szCs w:val="32"/>
        </w:rPr>
      </w:pPr>
      <w:r>
        <w:rPr>
          <w:rFonts w:ascii="仿宋" w:hAnsi="仿宋" w:eastAsia="仿宋"/>
          <w:sz w:val="32"/>
          <w:szCs w:val="32"/>
        </w:rPr>
        <w:t>7.</w:t>
      </w:r>
      <w:r>
        <w:rPr>
          <w:rFonts w:hint="eastAsia" w:ascii="仿宋" w:hAnsi="仿宋" w:eastAsia="仿宋"/>
          <w:sz w:val="32"/>
          <w:szCs w:val="32"/>
        </w:rPr>
        <w:t>法律法规规定的以其他不合理条件限制或者排斥潜在投标人参加投标的情形。</w:t>
      </w:r>
    </w:p>
    <w:p>
      <w:pPr>
        <w:shd w:val="clear" w:color="000000" w:fill="FFFFFF"/>
        <w:spacing w:before="0" w:beforeAutospacing="0" w:after="0" w:line="600" w:lineRule="exact"/>
        <w:ind w:firstLine="636" w:firstLineChars="199"/>
        <w:rPr>
          <w:rFonts w:ascii="黑体" w:hAnsi="黑体" w:eastAsia="黑体" w:cs="黑体"/>
          <w:bCs/>
          <w:color w:val="333333"/>
          <w:kern w:val="0"/>
          <w:sz w:val="32"/>
          <w:szCs w:val="32"/>
        </w:rPr>
      </w:pPr>
      <w:r>
        <w:rPr>
          <w:rFonts w:hint="eastAsia" w:ascii="黑体" w:hAnsi="黑体" w:eastAsia="黑体" w:cs="黑体"/>
          <w:bCs/>
          <w:kern w:val="0"/>
          <w:sz w:val="32"/>
          <w:szCs w:val="32"/>
        </w:rPr>
        <w:t>二、实行资格审查制度</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公开招标项目，一般实行资格后审，由评标委员会在开标后评标前对投标人进行审查。对资格后审不合格的投标人，评标委员会应当对其投标文件作否决处理。</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对技术特别复杂或具有特殊专业技术要求的工程项目，在经由发改部门组织相应专业专家论证后，可以实行资格预审。实行资格预审的公开招标项目，应在开始发售资格预审文件不少于5日前，发布资格预审公告。明确资格预审文件发售的时间、地点，发售期不得少于5日。应在发布资格预审公告同时，发布招标文件。提交资格预审申请文件的时间，自资格预审文件停止发售之日起不得少于5日。</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招标人可根据招标项目的特点，通过资格预审条件确定投标人，资格预审应当按照资格预审文件载明的标准和方法进行。招标人应当组建资格审查委员会审查资格预审申请文件。资格预审结束后，招标人应当及时向资格预审申请人发出资格预审结果通知书。通过资格预审的申请人少于3个的，应当重新招标。</w:t>
      </w:r>
    </w:p>
    <w:p>
      <w:pPr>
        <w:shd w:val="clear" w:color="000000" w:fill="FFFFFF"/>
        <w:spacing w:before="0" w:beforeAutospacing="0" w:after="0" w:line="600" w:lineRule="exact"/>
        <w:ind w:firstLine="640" w:firstLineChars="200"/>
        <w:rPr>
          <w:rFonts w:ascii="黑体" w:hAnsi="黑体" w:eastAsia="黑体" w:cs="黑体"/>
          <w:bCs/>
          <w:color w:val="333333"/>
          <w:kern w:val="0"/>
          <w:sz w:val="32"/>
          <w:szCs w:val="32"/>
        </w:rPr>
      </w:pPr>
      <w:r>
        <w:rPr>
          <w:rFonts w:hint="eastAsia" w:ascii="黑体" w:hAnsi="黑体" w:eastAsia="黑体" w:cs="黑体"/>
          <w:bCs/>
          <w:kern w:val="0"/>
          <w:sz w:val="32"/>
          <w:szCs w:val="32"/>
        </w:rPr>
        <w:t>三、实行招标电子化</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一）向社会公开招标采取资格后审的，实行招标公告、招标文件、有关图纸和最高限价预算（概算）书同步上网发布（不出售纸质文件）。潜在投标人均可下载招标文件及查阅有关资料进行准备，按规定的时间和地点递交投标文件。</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二）向社会公开招标采取资格预审的，在确定合格投标人之后，推行招标文件、有关图纸和最高限价预算书同步上网发布（不出售纸质文件）。合格投标人均可下载招标文件及查阅有关资料进行准备，按规定的时间和地点递交投标文件。</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（三）招标人不得收取网上发布的招标文件、有关图纸和最高限价预算书的工本费。</w:t>
      </w:r>
    </w:p>
    <w:p>
      <w:pPr>
        <w:shd w:val="clear" w:color="000000" w:fill="FFFFFF"/>
        <w:spacing w:before="0" w:beforeAutospacing="0" w:after="0" w:line="600" w:lineRule="exact"/>
        <w:ind w:firstLine="160"/>
        <w:rPr>
          <w:rFonts w:ascii="仿宋" w:hAnsi="仿宋" w:eastAsia="仿宋" w:cs="宋体"/>
          <w:color w:val="333333"/>
          <w:kern w:val="0"/>
          <w:sz w:val="32"/>
          <w:szCs w:val="32"/>
        </w:rPr>
      </w:pPr>
      <w:r>
        <w:rPr>
          <w:rFonts w:hint="eastAsia" w:ascii="仿宋" w:hAnsi="仿宋" w:eastAsia="仿宋"/>
          <w:sz w:val="32"/>
          <w:szCs w:val="32"/>
        </w:rPr>
        <w:t xml:space="preserve">  （四）实行网上答疑，减少潜在投标人信息披露。采用资格后审的招标工程，招标人不集中组织现场踏勘和答疑。招标人应在招标文件中明确告知招标工程项目的具体位置和周边环境，并在现场显著位置标识，投标人需要了解现场情况的，可自行进行现场踏勘，招标人不得无故阻拦，不得要求潜在投标人反馈现场踏勘信息；投标人对招标事宜的疑问应以不署名的形式在规定要求的网站提出，招标人应当在网上及时答复；截标</w:t>
      </w:r>
      <w:r>
        <w:rPr>
          <w:rFonts w:ascii="仿宋" w:hAnsi="仿宋" w:eastAsia="仿宋"/>
          <w:sz w:val="32"/>
          <w:szCs w:val="32"/>
        </w:rPr>
        <w:t>5</w:t>
      </w:r>
      <w:r>
        <w:rPr>
          <w:rFonts w:hint="eastAsia" w:ascii="仿宋" w:hAnsi="仿宋" w:eastAsia="仿宋"/>
          <w:sz w:val="32"/>
          <w:szCs w:val="32"/>
        </w:rPr>
        <w:t>日前停止答疑，逾期答疑的，截标时间应当相应顺延。招标人或者其他知情人不得向他人透露已获取招标文件的潜在投标人的名称、数量以及可能影响公平竞争的有关招标投标的其他情况。</w:t>
      </w:r>
    </w:p>
    <w:p>
      <w:pPr>
        <w:shd w:val="clear" w:color="000000" w:fill="FFFFFF"/>
        <w:spacing w:before="0" w:beforeAutospacing="0" w:after="0" w:line="600" w:lineRule="exact"/>
        <w:ind w:firstLine="636" w:firstLineChars="199"/>
        <w:rPr>
          <w:rFonts w:ascii="黑体" w:hAnsi="黑体" w:eastAsia="黑体" w:cs="黑体"/>
          <w:bCs/>
          <w:color w:val="333333"/>
          <w:kern w:val="0"/>
          <w:sz w:val="32"/>
          <w:szCs w:val="32"/>
        </w:rPr>
      </w:pPr>
      <w:r>
        <w:rPr>
          <w:rFonts w:hint="eastAsia" w:ascii="黑体" w:hAnsi="黑体" w:eastAsia="黑体" w:cs="黑体"/>
          <w:bCs/>
          <w:kern w:val="0"/>
          <w:sz w:val="32"/>
          <w:szCs w:val="32"/>
        </w:rPr>
        <w:t>四、实行企业诚信综合评价制度</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逐步建立相应资质类别的诚信体系。具备建筑工程施工总承包、市政公用工程施工总承包和建筑装修装饰工程专业承包其中任一项资质的施工企业，在参加项目投标前，均应加入汕头市施工企业诚信综合评价体系。招标人应选择诚信综合评价好且具备相应资质的投标人。</w:t>
      </w:r>
    </w:p>
    <w:p>
      <w:pPr>
        <w:shd w:val="clear" w:color="000000" w:fill="FFFFFF"/>
        <w:spacing w:before="0" w:beforeAutospacing="0" w:after="0" w:line="600" w:lineRule="exact"/>
        <w:ind w:firstLine="636" w:firstLineChars="199"/>
        <w:rPr>
          <w:rFonts w:ascii="黑体" w:hAnsi="黑体" w:eastAsia="黑体" w:cs="黑体"/>
          <w:bCs/>
          <w:color w:val="333333"/>
          <w:kern w:val="0"/>
          <w:sz w:val="32"/>
          <w:szCs w:val="32"/>
        </w:rPr>
      </w:pPr>
      <w:r>
        <w:rPr>
          <w:rFonts w:hint="eastAsia" w:ascii="黑体" w:hAnsi="黑体" w:eastAsia="黑体" w:cs="黑体"/>
          <w:bCs/>
          <w:kern w:val="0"/>
          <w:sz w:val="32"/>
          <w:szCs w:val="32"/>
        </w:rPr>
        <w:t>五、加强工程造价管理</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（一）招标人要依据经批复的项目可行性研究报告，切实做好项目初步设计和概算编制工作，严格控制投资规模，优化设计方案，合理确定造价，提高工程总投资经济性、科学性和准确性。</w:t>
      </w:r>
    </w:p>
    <w:p>
      <w:pPr>
        <w:shd w:val="clear" w:color="000000" w:fill="FFFFFF"/>
        <w:spacing w:before="0" w:beforeAutospacing="0" w:after="0" w:line="600" w:lineRule="exact"/>
        <w:ind w:firstLine="480" w:firstLineChars="150"/>
        <w:rPr>
          <w:rFonts w:hint="eastAsia" w:ascii="仿宋" w:hAnsi="仿宋" w:eastAsia="仿宋"/>
          <w:sz w:val="32"/>
          <w:szCs w:val="32"/>
        </w:rPr>
      </w:pPr>
      <w:r>
        <w:rPr>
          <w:rFonts w:hint="eastAsia" w:ascii="仿宋" w:hAnsi="仿宋" w:eastAsia="仿宋"/>
          <w:sz w:val="32"/>
          <w:szCs w:val="32"/>
        </w:rPr>
        <w:t>（二）公开招标的建设工程，招标人应当在招标文件中设定最高限价，最高限价必须经有关主管部门审定。实行施工招标模式的工程项目最高限价按预算执行，实行</w:t>
      </w:r>
      <w:r>
        <w:rPr>
          <w:rFonts w:hint="eastAsia" w:ascii="仿宋" w:hAnsi="仿宋" w:eastAsia="仿宋"/>
          <w:sz w:val="32"/>
          <w:szCs w:val="32"/>
          <w:lang w:val="en-US" w:eastAsia="zh-CN"/>
        </w:rPr>
        <w:t>工程总承包</w:t>
      </w:r>
      <w:r>
        <w:rPr>
          <w:rFonts w:hint="eastAsia" w:ascii="仿宋" w:hAnsi="仿宋" w:eastAsia="仿宋"/>
          <w:sz w:val="32"/>
          <w:szCs w:val="32"/>
        </w:rPr>
        <w:t>招标模式的最高限价按概算执行。</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三）建设工程的招标文件、施工合同对支付工程款、计价时点、单价或工程量变更，结算方式等约定，必须依照财政部、住建部、广东省关于建设工程价款结算的相关规定，严格控制工程总造价。施工图预算价中的建安工程费，不得超过经批准的概算价中的建安工程费。项目合同价以预算审核报告书的造价，并结合中标下浮确定。</w:t>
      </w:r>
    </w:p>
    <w:p>
      <w:pPr>
        <w:shd w:val="clear" w:color="000000" w:fill="FFFFFF"/>
        <w:spacing w:before="0" w:beforeAutospacing="0" w:after="0" w:line="600" w:lineRule="exact"/>
        <w:ind w:firstLine="636" w:firstLineChars="199"/>
        <w:rPr>
          <w:rFonts w:ascii="仿宋" w:hAnsi="仿宋" w:eastAsia="仿宋"/>
          <w:sz w:val="32"/>
          <w:szCs w:val="32"/>
        </w:rPr>
      </w:pPr>
      <w:r>
        <w:rPr>
          <w:rFonts w:hint="eastAsia" w:ascii="仿宋" w:hAnsi="仿宋" w:eastAsia="仿宋"/>
          <w:sz w:val="32"/>
          <w:szCs w:val="32"/>
        </w:rPr>
        <w:t>确因不可预见的原因需变更设计或增加工程量，增加投资额在项目预备费无法解决的，应按《汕头经济特区政府投资项目管理条例》的规定，先审批后调整。</w:t>
      </w:r>
    </w:p>
    <w:p>
      <w:pPr>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四）加强建设工程全过程的造价管理和控制。提倡大型建设项目的业主委托具有相应资质，且信誉较好的造价咨询机构实行全过程的造价咨询。建筑工程大、中、小型项目的划分根据住建部公布的建设项目设计规模划分标准。</w:t>
      </w:r>
    </w:p>
    <w:p>
      <w:pPr>
        <w:shd w:val="clear" w:color="000000" w:fill="FFFFFF"/>
        <w:spacing w:before="0" w:beforeAutospacing="0" w:after="0" w:line="600" w:lineRule="exact"/>
        <w:ind w:firstLine="480" w:firstLineChars="150"/>
        <w:rPr>
          <w:rFonts w:ascii="仿宋" w:hAnsi="仿宋" w:eastAsia="仿宋" w:cs="宋体"/>
          <w:color w:val="333333"/>
          <w:kern w:val="0"/>
          <w:sz w:val="32"/>
          <w:szCs w:val="32"/>
        </w:rPr>
      </w:pPr>
      <w:r>
        <w:rPr>
          <w:rFonts w:hint="eastAsia" w:ascii="仿宋" w:hAnsi="仿宋" w:eastAsia="仿宋"/>
          <w:sz w:val="32"/>
          <w:szCs w:val="32"/>
        </w:rPr>
        <w:t>（五）为鼓励优化设计，招标人可在招标文件中约定，在满足使用功能的前提下，中标人因设计优化节约投资的，可按一定比例奖励中标人。</w:t>
      </w:r>
    </w:p>
    <w:p>
      <w:pPr>
        <w:shd w:val="clear" w:color="000000" w:fill="FFFFFF"/>
        <w:spacing w:before="0" w:beforeAutospacing="0" w:after="0" w:line="600" w:lineRule="exact"/>
        <w:ind w:firstLine="636" w:firstLineChars="199"/>
        <w:rPr>
          <w:rFonts w:ascii="黑体" w:hAnsi="黑体" w:eastAsia="黑体" w:cs="黑体"/>
          <w:bCs/>
          <w:color w:val="333333"/>
          <w:kern w:val="0"/>
          <w:sz w:val="32"/>
          <w:szCs w:val="32"/>
        </w:rPr>
      </w:pPr>
      <w:r>
        <w:rPr>
          <w:rFonts w:hint="eastAsia" w:ascii="黑体" w:hAnsi="黑体" w:eastAsia="黑体" w:cs="黑体"/>
          <w:bCs/>
          <w:kern w:val="0"/>
          <w:sz w:val="32"/>
          <w:szCs w:val="32"/>
        </w:rPr>
        <w:t>六、加强信息发布管理</w:t>
      </w:r>
    </w:p>
    <w:p>
      <w:pPr>
        <w:shd w:val="clear" w:color="000000" w:fill="FFFFFF"/>
        <w:spacing w:before="0" w:beforeAutospacing="0" w:after="0" w:line="600" w:lineRule="exact"/>
        <w:ind w:firstLine="640" w:firstLineChars="200"/>
        <w:rPr>
          <w:rFonts w:ascii="仿宋" w:hAnsi="仿宋" w:eastAsia="仿宋" w:cs="宋体"/>
          <w:color w:val="333333"/>
          <w:kern w:val="0"/>
          <w:sz w:val="32"/>
          <w:szCs w:val="32"/>
        </w:rPr>
      </w:pPr>
      <w:r>
        <w:rPr>
          <w:rFonts w:hint="eastAsia" w:ascii="仿宋" w:hAnsi="仿宋" w:eastAsia="仿宋"/>
          <w:sz w:val="32"/>
          <w:szCs w:val="32"/>
        </w:rPr>
        <w:t>建设工程招标项目，资格预审公告、招标公告、资格预审结果、招标结果等招标投标有关信息，必须在规定的包括网站、报纸在内的媒体进行发布。</w:t>
      </w:r>
    </w:p>
    <w:p>
      <w:pPr>
        <w:shd w:val="clear" w:color="000000" w:fill="FFFFFF"/>
        <w:spacing w:before="0" w:beforeAutospacing="0" w:after="0" w:line="600" w:lineRule="exact"/>
        <w:ind w:firstLine="636" w:firstLineChars="199"/>
        <w:rPr>
          <w:rFonts w:ascii="黑体" w:hAnsi="黑体" w:eastAsia="黑体" w:cs="黑体"/>
          <w:bCs/>
          <w:color w:val="333333"/>
          <w:kern w:val="0"/>
          <w:sz w:val="32"/>
          <w:szCs w:val="32"/>
        </w:rPr>
      </w:pPr>
      <w:r>
        <w:rPr>
          <w:rFonts w:hint="eastAsia" w:ascii="黑体" w:hAnsi="黑体" w:eastAsia="黑体" w:cs="黑体"/>
          <w:bCs/>
          <w:kern w:val="0"/>
          <w:sz w:val="32"/>
          <w:szCs w:val="32"/>
        </w:rPr>
        <w:t>七、加强工期管理</w:t>
      </w:r>
    </w:p>
    <w:p>
      <w:pPr>
        <w:shd w:val="clear" w:color="000000" w:fill="FFFFFF"/>
        <w:spacing w:before="0" w:beforeAutospacing="0" w:after="0" w:line="600" w:lineRule="exact"/>
        <w:ind w:firstLine="640" w:firstLineChars="200"/>
        <w:rPr>
          <w:rFonts w:ascii="仿宋" w:hAnsi="仿宋" w:eastAsia="仿宋" w:cs="宋体"/>
          <w:color w:val="333333"/>
          <w:kern w:val="0"/>
          <w:sz w:val="32"/>
          <w:szCs w:val="32"/>
        </w:rPr>
      </w:pPr>
      <w:r>
        <w:rPr>
          <w:rFonts w:hint="eastAsia" w:ascii="仿宋" w:hAnsi="仿宋" w:eastAsia="仿宋"/>
          <w:sz w:val="32"/>
          <w:szCs w:val="32"/>
        </w:rPr>
        <w:t>建设工程项目招标人应依据项目要求的开、竣工时间，在招标文件和合同中明确约定逾期开工、竣工等违约情形，并设定不同情况的相应违约责任；鼓励招标人进一步细化工期要求，将阶段性工期要求纳入工期管理约定内容。对能够通过提高管理效率，在完成法定条件前提下提前开工、竣工的中标人，可以根据项目的具体情况，在招标文件和施工合同中设置不超过合同造价</w:t>
      </w:r>
      <w:r>
        <w:rPr>
          <w:rFonts w:ascii="仿宋" w:hAnsi="仿宋" w:eastAsia="仿宋"/>
          <w:sz w:val="32"/>
          <w:szCs w:val="32"/>
        </w:rPr>
        <w:t>0.5%</w:t>
      </w:r>
      <w:r>
        <w:rPr>
          <w:rFonts w:hint="eastAsia" w:ascii="仿宋" w:hAnsi="仿宋" w:eastAsia="仿宋"/>
          <w:sz w:val="32"/>
          <w:szCs w:val="32"/>
        </w:rPr>
        <w:t>的奖励，奖励金额作为工程造价的组成部分列入工程总投资。最高奖励金额为500万元。</w:t>
      </w:r>
    </w:p>
    <w:p>
      <w:pPr>
        <w:shd w:val="clear" w:color="000000" w:fill="FFFFFF"/>
        <w:spacing w:before="0" w:beforeAutospacing="0" w:after="0" w:line="600" w:lineRule="exact"/>
        <w:ind w:firstLine="636" w:firstLineChars="199"/>
        <w:rPr>
          <w:rFonts w:ascii="黑体" w:hAnsi="黑体" w:eastAsia="黑体" w:cs="黑体"/>
          <w:bCs/>
          <w:color w:val="333333"/>
          <w:kern w:val="0"/>
          <w:sz w:val="32"/>
          <w:szCs w:val="32"/>
        </w:rPr>
      </w:pPr>
      <w:r>
        <w:rPr>
          <w:rFonts w:hint="eastAsia" w:ascii="黑体" w:hAnsi="黑体" w:eastAsia="黑体" w:cs="黑体"/>
          <w:bCs/>
          <w:kern w:val="0"/>
          <w:sz w:val="32"/>
          <w:szCs w:val="32"/>
        </w:rPr>
        <w:t>八、加强中标项目主要人员行为管理</w:t>
      </w:r>
    </w:p>
    <w:p>
      <w:pPr>
        <w:shd w:val="clear" w:color="000000" w:fill="FFFFFF"/>
        <w:spacing w:before="0" w:beforeAutospacing="0" w:after="0" w:line="600" w:lineRule="exact"/>
        <w:ind w:firstLine="640" w:firstLineChars="200"/>
        <w:rPr>
          <w:rFonts w:ascii="仿宋" w:hAnsi="仿宋" w:eastAsia="仿宋" w:cs="宋体"/>
          <w:color w:val="333333"/>
          <w:kern w:val="0"/>
          <w:sz w:val="32"/>
          <w:szCs w:val="32"/>
        </w:rPr>
      </w:pPr>
      <w:r>
        <w:rPr>
          <w:rFonts w:hint="eastAsia" w:ascii="仿宋" w:hAnsi="仿宋" w:eastAsia="仿宋"/>
          <w:sz w:val="32"/>
          <w:szCs w:val="32"/>
        </w:rPr>
        <w:t>建设工程项目招标人应在招标文件和合同中，对项目建造师、技术负责人、质量管理员、安全管理员等重要岗位人员到岗要求作出具体的约定，并明确缺岗责任追究的量化标准。杜绝在项目建设过程中，由于上述人员缺岗而发生质量安全事故。</w:t>
      </w:r>
    </w:p>
    <w:p>
      <w:pPr>
        <w:shd w:val="clear" w:color="000000" w:fill="FFFFFF"/>
        <w:spacing w:before="0" w:beforeAutospacing="0" w:after="0" w:line="600" w:lineRule="exact"/>
        <w:ind w:firstLine="640" w:firstLineChars="200"/>
        <w:rPr>
          <w:rFonts w:ascii="黑体" w:hAnsi="黑体" w:eastAsia="黑体" w:cs="黑体"/>
          <w:bCs/>
          <w:color w:val="333333"/>
          <w:kern w:val="0"/>
          <w:sz w:val="32"/>
          <w:szCs w:val="32"/>
        </w:rPr>
      </w:pPr>
      <w:r>
        <w:rPr>
          <w:rFonts w:hint="eastAsia" w:ascii="黑体" w:hAnsi="黑体" w:eastAsia="黑体" w:cs="黑体"/>
          <w:bCs/>
          <w:kern w:val="0"/>
          <w:sz w:val="32"/>
          <w:szCs w:val="32"/>
        </w:rPr>
        <w:t>九、加强对招标投标过程的监管</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（一）招标人负责具体组织和参与招标工作的人员，以及招标代理机构项目代理服务人员，必须是本单位、本机构已办理</w:t>
      </w:r>
      <w:r>
        <w:rPr>
          <w:rFonts w:ascii="仿宋" w:hAnsi="仿宋" w:eastAsia="仿宋"/>
          <w:sz w:val="32"/>
          <w:szCs w:val="32"/>
        </w:rPr>
        <w:t>6</w:t>
      </w:r>
      <w:r>
        <w:rPr>
          <w:rFonts w:hint="eastAsia" w:ascii="仿宋" w:hAnsi="仿宋" w:eastAsia="仿宋"/>
          <w:sz w:val="32"/>
          <w:szCs w:val="32"/>
        </w:rPr>
        <w:t>个月以上社保的工作人员。</w:t>
      </w:r>
    </w:p>
    <w:p>
      <w:pPr>
        <w:shd w:val="clear" w:color="000000" w:fill="FFFFFF"/>
        <w:suppressAutoHyphens/>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二）招标人及招标代理机构应当遵循公开、公正、择优和诚实信用原则，严格依法编制招标文件和招标公告，对招标文件的合法性和完整性负责，并按规定报住房城乡建设行政主管部门备案。招标人发现招标文件存在违反法规政策强制性、禁止性规定的，应自行修改，并及时书面告知相关监督部门。</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（三）招标人应当确定投标人编制投标文件所需要的合理时间。</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采用施工招标模式的，自招标文件发出之日至投标人提交投标文件截止之日，最短不得少于</w:t>
      </w:r>
      <w:r>
        <w:rPr>
          <w:rFonts w:ascii="仿宋" w:hAnsi="仿宋" w:eastAsia="仿宋"/>
          <w:sz w:val="32"/>
          <w:szCs w:val="32"/>
        </w:rPr>
        <w:t>20</w:t>
      </w:r>
      <w:r>
        <w:rPr>
          <w:rFonts w:hint="eastAsia" w:ascii="仿宋" w:hAnsi="仿宋" w:eastAsia="仿宋"/>
          <w:sz w:val="32"/>
          <w:szCs w:val="32"/>
        </w:rPr>
        <w:t>日。</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采用</w:t>
      </w:r>
      <w:r>
        <w:rPr>
          <w:rFonts w:hint="eastAsia" w:ascii="仿宋" w:hAnsi="仿宋" w:eastAsia="仿宋"/>
          <w:sz w:val="32"/>
          <w:szCs w:val="32"/>
          <w:lang w:val="en-US" w:eastAsia="zh-CN"/>
        </w:rPr>
        <w:t>工程总承包</w:t>
      </w:r>
      <w:r>
        <w:rPr>
          <w:rFonts w:hint="eastAsia" w:ascii="仿宋" w:hAnsi="仿宋" w:eastAsia="仿宋"/>
          <w:sz w:val="32"/>
          <w:szCs w:val="32"/>
        </w:rPr>
        <w:t>的，招标文件要求提交设计成果的，自招标文件发出之日至投标人提交投标文件截止之日，最短不得少于</w:t>
      </w:r>
      <w:r>
        <w:rPr>
          <w:rFonts w:ascii="仿宋" w:hAnsi="仿宋" w:eastAsia="仿宋"/>
          <w:sz w:val="32"/>
          <w:szCs w:val="32"/>
        </w:rPr>
        <w:t>45</w:t>
      </w:r>
      <w:r>
        <w:rPr>
          <w:rFonts w:hint="eastAsia" w:ascii="仿宋" w:hAnsi="仿宋" w:eastAsia="仿宋"/>
          <w:sz w:val="32"/>
          <w:szCs w:val="32"/>
        </w:rPr>
        <w:t>日；招标文件不要求提交设计成果的，自招标文件发出之日起投标人提交投标文件截止之日，最短不得少于20日。</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（四）招标人及招标代理机构应在确定中标人后的</w:t>
      </w:r>
      <w:r>
        <w:rPr>
          <w:rFonts w:ascii="仿宋" w:hAnsi="仿宋" w:eastAsia="仿宋"/>
          <w:sz w:val="32"/>
          <w:szCs w:val="32"/>
        </w:rPr>
        <w:t>15</w:t>
      </w:r>
      <w:r>
        <w:rPr>
          <w:rFonts w:hint="eastAsia" w:ascii="仿宋" w:hAnsi="仿宋" w:eastAsia="仿宋"/>
          <w:sz w:val="32"/>
          <w:szCs w:val="32"/>
        </w:rPr>
        <w:t>日内将招标结果报住房城乡建设行政主管部门和发改部门备案，并抄送监察部门。</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（五）投标人拟派建造师在投标时不得担任其他在建施工项目（含尚未完成竣工验收手续的项目）负责人。有关法律法规规定允许的其他情形除外。</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（六）递交投标文件截止时即进行开标。招标人可以要求投标人的拟派项目负责人在开标时到场。工程项目总投资在5亿元及以上的，提倡投标人的法定代表人在开标时到场。</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（七）被否决的投标文件不得参与评标。</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（八）招标文件集中载明的否决条款应包括下列情形：</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1.投标文件未经投标单位盖章和单位负责人签字</w:t>
      </w:r>
      <w:r>
        <w:rPr>
          <w:rFonts w:hint="eastAsia" w:ascii="仿宋" w:hAnsi="仿宋" w:eastAsia="仿宋"/>
          <w:sz w:val="32"/>
          <w:szCs w:val="32"/>
        </w:rPr>
        <w:t>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其他单位及其单位负责人在投标人编制的投标文件上加盖印章和签字的；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未按规定的格式填写，内容不全或关键字迹模糊、无法辨认的；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除按招标文件规定提交备选投标方案外，递交两份或多份内容不同的投标文件，或在一份投标文件中对同一招标项目报两个或多个报价，且未声明其中一个有效的；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投标人不符合国家或者招标文件规定的资格条件的；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未按招标文件要求提交投标保证金的；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联合体投标未附联合体各方共同投标协议的；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同一单位参与同一项目不同投标联合体的；</w:t>
      </w:r>
    </w:p>
    <w:p>
      <w:pPr>
        <w:shd w:val="clear" w:color="000000" w:fill="FFFFFF"/>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投标文件没有对招标文件的实质性要求和条件作出响应的；</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10.</w:t>
      </w:r>
      <w:r>
        <w:rPr>
          <w:rFonts w:hint="eastAsia" w:ascii="仿宋" w:hAnsi="仿宋" w:eastAsia="仿宋"/>
          <w:sz w:val="32"/>
          <w:szCs w:val="32"/>
        </w:rPr>
        <w:t>投标人有串通投标、弄虚作假、行贿等违法行为的；</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11.投标人列入信用黑名单等违反信用有关规定的。</w:t>
      </w:r>
    </w:p>
    <w:p>
      <w:pPr>
        <w:shd w:val="clear" w:color="000000" w:fill="FFFFFF"/>
        <w:spacing w:before="0" w:beforeAutospacing="0" w:after="0" w:line="600" w:lineRule="exact"/>
        <w:ind w:firstLine="160"/>
        <w:rPr>
          <w:rFonts w:ascii="仿宋" w:hAnsi="仿宋" w:eastAsia="仿宋"/>
          <w:sz w:val="32"/>
          <w:szCs w:val="32"/>
        </w:rPr>
      </w:pPr>
      <w:r>
        <w:rPr>
          <w:rFonts w:ascii="仿宋" w:hAnsi="仿宋" w:eastAsia="仿宋"/>
          <w:sz w:val="32"/>
          <w:szCs w:val="32"/>
        </w:rPr>
        <w:t>招标人通过补充招标文件增加、删除、修改否决投标条款的，应当在补充招标文件中集中载明调整后完整的否决投标条款。未集中载明的否决投标条款，评标时不予认可。</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（九）加强工程投标保证、履约担保管理。</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1.</w:t>
      </w:r>
      <w:r>
        <w:rPr>
          <w:rFonts w:hint="eastAsia" w:ascii="仿宋" w:hAnsi="仿宋" w:eastAsia="仿宋"/>
          <w:sz w:val="32"/>
          <w:szCs w:val="32"/>
        </w:rPr>
        <w:t>招标人可要求投标人在投标同时提交投标保证金，投标保证金的形式可采用以下方式：</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（1）从投标人基本存款账户开户许可证中标明的开户银行开具的银行保函；</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（2）由投标人与建设项目所在地或非项目所在地的融资性担保公司签订的投标担保函；</w:t>
      </w:r>
    </w:p>
    <w:p>
      <w:pPr>
        <w:autoSpaceDE w:val="0"/>
        <w:autoSpaceDN w:val="0"/>
        <w:adjustRightInd w:val="0"/>
        <w:spacing w:before="0" w:beforeAutospacing="0" w:after="0" w:line="600" w:lineRule="exact"/>
        <w:ind w:firstLine="480" w:firstLineChars="150"/>
        <w:rPr>
          <w:rFonts w:ascii="仿宋" w:hAnsi="仿宋" w:eastAsia="仿宋"/>
          <w:color w:val="FF0000"/>
          <w:sz w:val="32"/>
          <w:szCs w:val="32"/>
        </w:rPr>
      </w:pPr>
      <w:r>
        <w:rPr>
          <w:rFonts w:hint="eastAsia" w:ascii="仿宋" w:hAnsi="仿宋" w:eastAsia="仿宋"/>
          <w:sz w:val="32"/>
          <w:szCs w:val="32"/>
        </w:rPr>
        <w:t>（3）由投标人与建设项目所在地或非项目所在地签订的投标财产保证保险合同（或保险单）。</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ascii="仿宋" w:hAnsi="仿宋" w:eastAsia="仿宋"/>
          <w:sz w:val="32"/>
          <w:szCs w:val="32"/>
        </w:rPr>
        <w:t>投标保证金有效期应当与投标有效期一致。</w:t>
      </w:r>
      <w:r>
        <w:rPr>
          <w:rFonts w:hint="eastAsia" w:ascii="仿宋" w:hAnsi="仿宋" w:eastAsia="仿宋"/>
          <w:sz w:val="32"/>
          <w:szCs w:val="32"/>
        </w:rPr>
        <w:t>投标保证金额一般不得低于投标项目总价的1%，不超过投标总价的2%，最高不得超过50万元人民币。</w:t>
      </w:r>
    </w:p>
    <w:p>
      <w:pPr>
        <w:autoSpaceDE w:val="0"/>
        <w:autoSpaceDN w:val="0"/>
        <w:adjustRightInd w:val="0"/>
        <w:snapToGri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2.招标人应当在中标通知书发出之日起</w:t>
      </w:r>
      <w:r>
        <w:rPr>
          <w:rFonts w:hint="eastAsia" w:ascii="仿宋" w:hAnsi="仿宋" w:eastAsia="仿宋"/>
          <w:sz w:val="32"/>
          <w:szCs w:val="32"/>
        </w:rPr>
        <w:t>5</w:t>
      </w:r>
      <w:r>
        <w:rPr>
          <w:rFonts w:ascii="仿宋" w:hAnsi="仿宋" w:eastAsia="仿宋"/>
          <w:sz w:val="32"/>
          <w:szCs w:val="32"/>
        </w:rPr>
        <w:t>日内将投标保证金退回中标候选人以外的投标人，在书面合同订立之日起</w:t>
      </w:r>
      <w:r>
        <w:rPr>
          <w:rFonts w:hint="eastAsia" w:ascii="仿宋" w:hAnsi="仿宋" w:eastAsia="仿宋"/>
          <w:sz w:val="32"/>
          <w:szCs w:val="32"/>
        </w:rPr>
        <w:t>5</w:t>
      </w:r>
      <w:r>
        <w:rPr>
          <w:rFonts w:ascii="仿宋" w:hAnsi="仿宋" w:eastAsia="仿宋"/>
          <w:sz w:val="32"/>
          <w:szCs w:val="32"/>
        </w:rPr>
        <w:t>日内将投标保证金退回中标人和其他中标候选人。法律、行政法规规定不予退还或者可以不退还投标保证金的，从其规定。</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招标文件要求中标人提交履约担保的，一律采用项目所在地或非项目所在地相关机构，出具的履约担保函或履约保证保险合同（或保险单）。</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（十）加强工人工资支付管理。招标文件应当强化工人工资支付的管理，明确设置实施工人</w:t>
      </w:r>
      <w:r>
        <w:rPr>
          <w:rFonts w:ascii="仿宋" w:hAnsi="仿宋" w:eastAsia="仿宋"/>
          <w:sz w:val="32"/>
          <w:szCs w:val="32"/>
        </w:rPr>
        <w:t>工资保证金</w:t>
      </w:r>
      <w:r>
        <w:rPr>
          <w:rFonts w:hint="eastAsia" w:ascii="仿宋" w:hAnsi="仿宋" w:eastAsia="仿宋"/>
          <w:sz w:val="32"/>
          <w:szCs w:val="32"/>
        </w:rPr>
        <w:t>及工人工资支付分账管理的具体办法。</w:t>
      </w:r>
    </w:p>
    <w:p>
      <w:pPr>
        <w:autoSpaceDE w:val="0"/>
        <w:autoSpaceDN w:val="0"/>
        <w:adjustRightInd w:val="0"/>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（十一）严禁施工企业带资施工，全面实行施工过程按月结算。招标文件应当明确严格禁止施工企业</w:t>
      </w:r>
      <w:r>
        <w:rPr>
          <w:rFonts w:ascii="仿宋" w:hAnsi="仿宋" w:eastAsia="仿宋"/>
          <w:sz w:val="32"/>
          <w:szCs w:val="32"/>
        </w:rPr>
        <w:t>通过企业投入自有资金</w:t>
      </w:r>
      <w:r>
        <w:rPr>
          <w:rFonts w:hint="eastAsia" w:ascii="仿宋" w:hAnsi="仿宋" w:eastAsia="仿宋"/>
          <w:sz w:val="32"/>
          <w:szCs w:val="32"/>
        </w:rPr>
        <w:t>、</w:t>
      </w:r>
      <w:r>
        <w:rPr>
          <w:rFonts w:ascii="仿宋" w:hAnsi="仿宋" w:eastAsia="仿宋"/>
          <w:sz w:val="32"/>
          <w:szCs w:val="32"/>
        </w:rPr>
        <w:t>银行贷款或</w:t>
      </w:r>
      <w:r>
        <w:rPr>
          <w:rFonts w:hint="eastAsia" w:ascii="仿宋" w:hAnsi="仿宋" w:eastAsia="仿宋"/>
          <w:sz w:val="32"/>
          <w:szCs w:val="32"/>
        </w:rPr>
        <w:t>其他</w:t>
      </w:r>
      <w:r>
        <w:rPr>
          <w:rFonts w:ascii="仿宋" w:hAnsi="仿宋" w:eastAsia="仿宋"/>
          <w:sz w:val="32"/>
          <w:szCs w:val="32"/>
        </w:rPr>
        <w:t>资金用于建设项目前期施工或全部工程</w:t>
      </w:r>
      <w:r>
        <w:rPr>
          <w:rFonts w:hint="eastAsia" w:ascii="仿宋" w:hAnsi="仿宋" w:eastAsia="仿宋"/>
          <w:sz w:val="32"/>
          <w:szCs w:val="32"/>
        </w:rPr>
        <w:t>的要求。明确设置实行工程施工过程按月结算的具体办法。</w:t>
      </w:r>
    </w:p>
    <w:p>
      <w:pPr>
        <w:autoSpaceDE w:val="0"/>
        <w:autoSpaceDN w:val="0"/>
        <w:adjustRightInd w:val="0"/>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（十二）各级行政监督部门要按照规定的职责分工，对有关招标投标活动实施监督。</w:t>
      </w:r>
    </w:p>
    <w:p>
      <w:pPr>
        <w:shd w:val="clear" w:color="000000" w:fill="FFFFFF"/>
        <w:adjustRightInd w:val="0"/>
        <w:spacing w:before="0" w:beforeAutospacing="0" w:after="0" w:line="600" w:lineRule="exact"/>
        <w:ind w:firstLine="160"/>
        <w:rPr>
          <w:rFonts w:ascii="黑体" w:hAnsi="黑体" w:eastAsia="黑体" w:cs="黑体"/>
          <w:bCs/>
          <w:color w:val="333333"/>
          <w:kern w:val="0"/>
          <w:sz w:val="32"/>
          <w:szCs w:val="32"/>
        </w:rPr>
      </w:pPr>
      <w:r>
        <w:rPr>
          <w:rFonts w:hint="eastAsia" w:ascii="黑体" w:hAnsi="黑体" w:eastAsia="黑体" w:cs="黑体"/>
          <w:bCs/>
          <w:kern w:val="0"/>
          <w:sz w:val="32"/>
          <w:szCs w:val="32"/>
        </w:rPr>
        <w:t xml:space="preserve">   十、鼓励创建优质工程</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建设工程应体现优质优价原则。项目立项时建设单位可将工程创优奖励费用列入总投资；在招标文件及施工合同中可设置有关工程创优的奖励条款，奖励费用作为工程造价的组成部分。对获得市级工程质量奖项的，建设单位可按工程施工合同造价的</w:t>
      </w:r>
      <w:r>
        <w:rPr>
          <w:rFonts w:ascii="仿宋" w:hAnsi="仿宋" w:eastAsia="仿宋"/>
          <w:sz w:val="32"/>
          <w:szCs w:val="32"/>
        </w:rPr>
        <w:t>1</w:t>
      </w:r>
      <w:r>
        <w:rPr>
          <w:rFonts w:hint="eastAsia" w:ascii="仿宋" w:hAnsi="仿宋" w:eastAsia="仿宋"/>
          <w:sz w:val="32"/>
          <w:szCs w:val="32"/>
        </w:rPr>
        <w:t>％给予施工企业奖励；对获得省级以上工程质量奖项的，可按施工合同造价的</w:t>
      </w:r>
      <w:r>
        <w:rPr>
          <w:rFonts w:ascii="仿宋" w:hAnsi="仿宋" w:eastAsia="仿宋"/>
          <w:sz w:val="32"/>
          <w:szCs w:val="32"/>
        </w:rPr>
        <w:t>1.5</w:t>
      </w:r>
      <w:r>
        <w:rPr>
          <w:rFonts w:hint="eastAsia" w:ascii="仿宋" w:hAnsi="仿宋" w:eastAsia="仿宋"/>
          <w:sz w:val="32"/>
          <w:szCs w:val="32"/>
        </w:rPr>
        <w:t>％给予奖励，获得国家级优质工程奖项的，可按施工合同造价的</w:t>
      </w:r>
      <w:r>
        <w:rPr>
          <w:rFonts w:ascii="仿宋" w:hAnsi="仿宋" w:eastAsia="仿宋"/>
          <w:sz w:val="32"/>
          <w:szCs w:val="32"/>
        </w:rPr>
        <w:t>2</w:t>
      </w:r>
      <w:r>
        <w:rPr>
          <w:rFonts w:hint="eastAsia" w:ascii="仿宋" w:hAnsi="仿宋" w:eastAsia="仿宋"/>
          <w:sz w:val="32"/>
          <w:szCs w:val="32"/>
        </w:rPr>
        <w:t>％给予奖励（同时获得多项质量奖项的，按最高奖项计）。最高奖励金额为2000万元。</w:t>
      </w:r>
    </w:p>
    <w:p>
      <w:pPr>
        <w:shd w:val="clear" w:color="000000" w:fill="FFFFFF"/>
        <w:spacing w:before="0" w:beforeAutospacing="0" w:after="0" w:line="600" w:lineRule="exact"/>
        <w:ind w:firstLine="640" w:firstLineChars="200"/>
        <w:rPr>
          <w:rFonts w:ascii="黑体" w:hAnsi="黑体" w:eastAsia="黑体" w:cs="黑体"/>
          <w:bCs/>
          <w:color w:val="333333"/>
          <w:kern w:val="0"/>
          <w:sz w:val="32"/>
          <w:szCs w:val="32"/>
        </w:rPr>
      </w:pPr>
      <w:r>
        <w:rPr>
          <w:rFonts w:hint="eastAsia" w:ascii="黑体" w:hAnsi="黑体" w:eastAsia="黑体" w:cs="黑体"/>
          <w:bCs/>
          <w:kern w:val="0"/>
          <w:sz w:val="32"/>
          <w:szCs w:val="32"/>
        </w:rPr>
        <w:t>十一、实行评标结果公示制度</w:t>
      </w:r>
    </w:p>
    <w:p>
      <w:pPr>
        <w:shd w:val="clear" w:color="000000" w:fill="FFFFFF"/>
        <w:spacing w:before="0" w:beforeAutospacing="0" w:after="0" w:line="600" w:lineRule="exact"/>
        <w:ind w:firstLine="160"/>
        <w:rPr>
          <w:rFonts w:hint="eastAsia" w:ascii="仿宋" w:hAnsi="仿宋" w:eastAsia="仿宋"/>
          <w:sz w:val="32"/>
          <w:szCs w:val="32"/>
        </w:rPr>
      </w:pPr>
      <w:r>
        <w:rPr>
          <w:rFonts w:hint="eastAsia" w:ascii="仿宋" w:hAnsi="仿宋" w:eastAsia="仿宋"/>
          <w:sz w:val="32"/>
          <w:szCs w:val="32"/>
        </w:rPr>
        <w:t xml:space="preserve">   （一）评标委员会应当在评标完成后向招标人提出书面评标报告。实行“评定分离”办法的，</w:t>
      </w:r>
      <w:r>
        <w:rPr>
          <w:rFonts w:hint="eastAsia" w:ascii="仿宋" w:hAnsi="仿宋" w:eastAsia="仿宋"/>
          <w:sz w:val="32"/>
          <w:szCs w:val="32"/>
          <w:lang w:eastAsia="zh-CN"/>
        </w:rPr>
        <w:t>向招标人推荐3至</w:t>
      </w:r>
      <w:r>
        <w:rPr>
          <w:rFonts w:hint="eastAsia" w:ascii="仿宋" w:hAnsi="仿宋" w:eastAsia="仿宋"/>
          <w:sz w:val="32"/>
          <w:szCs w:val="32"/>
          <w:lang w:val="en-US" w:eastAsia="zh-CN"/>
        </w:rPr>
        <w:t>7</w:t>
      </w:r>
      <w:r>
        <w:rPr>
          <w:rFonts w:hint="eastAsia" w:ascii="仿宋" w:hAnsi="仿宋" w:eastAsia="仿宋"/>
          <w:sz w:val="32"/>
          <w:szCs w:val="32"/>
          <w:lang w:eastAsia="zh-CN"/>
        </w:rPr>
        <w:t>名优质投标人，且最多不超过正式投标人数量的</w:t>
      </w:r>
      <w:r>
        <w:rPr>
          <w:rFonts w:hint="eastAsia" w:ascii="仿宋" w:hAnsi="仿宋" w:eastAsia="仿宋"/>
          <w:sz w:val="32"/>
          <w:szCs w:val="32"/>
          <w:lang w:val="en-US" w:eastAsia="zh-CN"/>
        </w:rPr>
        <w:t>40%，不足3名的按3名确定</w:t>
      </w:r>
      <w:r>
        <w:rPr>
          <w:rFonts w:hint="eastAsia" w:ascii="仿宋" w:hAnsi="仿宋" w:eastAsia="仿宋"/>
          <w:sz w:val="32"/>
          <w:szCs w:val="32"/>
        </w:rPr>
        <w:t>；实行“综合评分法”的，向招标人推荐不超过3名的排序中标候选人。</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评标情况在规定要求的网站上公示书面评标报告（专家以编号代替）、优质投标人或中标候选人的投标资料（除涉及商业秘密的报价清单外），公示期不得少于3日（节假日顺延）。优质投标人或中标候选人情况应当包括优质投标人或中标候选人的名称、投标价及投标修正价、项目负责人姓名、业绩、奖项等资料以及招标人认为应当公示的其他内容。</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投标人对评标结果有异议的，应当在评标公示期间向招标人提出。招标人应当自收到异议之日起3日（节假日顺延）内作出答复；作出答复前，应当暂停招标投标活动。</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招标</w:t>
      </w:r>
      <w:r>
        <w:rPr>
          <w:rFonts w:ascii="仿宋" w:hAnsi="仿宋" w:eastAsia="仿宋"/>
          <w:sz w:val="32"/>
          <w:szCs w:val="32"/>
        </w:rPr>
        <w:t>人</w:t>
      </w:r>
      <w:r>
        <w:rPr>
          <w:rFonts w:hint="eastAsia" w:ascii="仿宋" w:hAnsi="仿宋" w:eastAsia="仿宋"/>
          <w:sz w:val="32"/>
          <w:szCs w:val="32"/>
        </w:rPr>
        <w:t>对</w:t>
      </w:r>
      <w:r>
        <w:rPr>
          <w:rFonts w:ascii="仿宋" w:hAnsi="仿宋" w:eastAsia="仿宋"/>
          <w:sz w:val="32"/>
          <w:szCs w:val="32"/>
        </w:rPr>
        <w:t>公示期</w:t>
      </w:r>
      <w:r>
        <w:rPr>
          <w:rFonts w:hint="eastAsia" w:ascii="仿宋" w:hAnsi="仿宋" w:eastAsia="仿宋"/>
          <w:sz w:val="32"/>
          <w:szCs w:val="32"/>
        </w:rPr>
        <w:t>内投标</w:t>
      </w:r>
      <w:r>
        <w:rPr>
          <w:rFonts w:ascii="仿宋" w:hAnsi="仿宋" w:eastAsia="仿宋"/>
          <w:sz w:val="32"/>
          <w:szCs w:val="32"/>
        </w:rPr>
        <w:t>人或其</w:t>
      </w:r>
      <w:r>
        <w:rPr>
          <w:rFonts w:hint="eastAsia" w:ascii="仿宋" w:hAnsi="仿宋" w:eastAsia="仿宋"/>
          <w:sz w:val="32"/>
          <w:szCs w:val="32"/>
        </w:rPr>
        <w:t>他</w:t>
      </w:r>
      <w:r>
        <w:rPr>
          <w:rFonts w:ascii="仿宋" w:hAnsi="仿宋" w:eastAsia="仿宋"/>
          <w:sz w:val="32"/>
          <w:szCs w:val="32"/>
        </w:rPr>
        <w:t>利害</w:t>
      </w:r>
      <w:r>
        <w:rPr>
          <w:rFonts w:hint="eastAsia" w:ascii="仿宋" w:hAnsi="仿宋" w:eastAsia="仿宋"/>
          <w:sz w:val="32"/>
          <w:szCs w:val="32"/>
        </w:rPr>
        <w:t>关系</w:t>
      </w:r>
      <w:r>
        <w:rPr>
          <w:rFonts w:ascii="仿宋" w:hAnsi="仿宋" w:eastAsia="仿宋"/>
          <w:sz w:val="32"/>
          <w:szCs w:val="32"/>
        </w:rPr>
        <w:t>人提出的</w:t>
      </w:r>
      <w:r>
        <w:rPr>
          <w:rFonts w:hint="eastAsia" w:ascii="仿宋" w:hAnsi="仿宋" w:eastAsia="仿宋"/>
          <w:sz w:val="32"/>
          <w:szCs w:val="32"/>
        </w:rPr>
        <w:t>异议，组织原评标委员会进行复核的，要及时告知招标投标监管部门，复核报告在规定要求的网站上公告</w:t>
      </w:r>
      <w:r>
        <w:rPr>
          <w:rFonts w:ascii="仿宋" w:hAnsi="仿宋" w:eastAsia="仿宋"/>
          <w:sz w:val="32"/>
          <w:szCs w:val="32"/>
        </w:rPr>
        <w:t>。</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（二）经公示后无接到任何异议或者异议主张不予采纳的，招标人根据评标委员会提出的书面评标报告确定优质投标人或中标候选人。</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（三）招标人应当在评标公示期满后，且异议已经处理完成后3日内（节假日顺延），完成定标工作。</w:t>
      </w:r>
    </w:p>
    <w:p>
      <w:pPr>
        <w:shd w:val="clear" w:color="000000" w:fill="FFFFFF"/>
        <w:spacing w:before="0" w:beforeAutospacing="0" w:after="0" w:line="600" w:lineRule="exact"/>
        <w:ind w:firstLine="480" w:firstLineChars="150"/>
        <w:rPr>
          <w:rFonts w:ascii="仿宋" w:hAnsi="仿宋" w:eastAsia="仿宋"/>
          <w:sz w:val="32"/>
          <w:szCs w:val="32"/>
        </w:rPr>
      </w:pPr>
      <w:r>
        <w:rPr>
          <w:rFonts w:hint="eastAsia" w:ascii="仿宋" w:hAnsi="仿宋" w:eastAsia="仿宋"/>
          <w:sz w:val="32"/>
          <w:szCs w:val="32"/>
        </w:rPr>
        <w:t>（四）招标人在发出中标通知书15日内，应当将中标结果在规定要求的网站上公告。</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（五）投标人或者其他利害关系人认为招标投标活动不符合法律、行政法规规定的，可以自知道或者应当知道之日起10日内向有关行政监督部门投诉。</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投诉应当有明确的请求和必要的证明材料。投诉人应当采用实名书面投诉，超过投诉时限的投诉，不予受理。</w:t>
      </w:r>
    </w:p>
    <w:p>
      <w:pPr>
        <w:shd w:val="clear" w:color="000000" w:fill="FFFFFF"/>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投诉事项应先提出异议而没有提出异议的，行政监督部门可不予受理。</w:t>
      </w:r>
    </w:p>
    <w:p>
      <w:pPr>
        <w:shd w:val="clear" w:color="000000" w:fill="FFFFFF"/>
        <w:spacing w:before="0" w:beforeAutospacing="0" w:after="0" w:line="600" w:lineRule="exact"/>
        <w:ind w:firstLine="640" w:firstLineChars="200"/>
        <w:rPr>
          <w:rFonts w:ascii="黑体" w:hAnsi="黑体" w:eastAsia="黑体" w:cs="黑体"/>
          <w:bCs/>
          <w:color w:val="333333"/>
          <w:kern w:val="0"/>
          <w:sz w:val="32"/>
          <w:szCs w:val="32"/>
        </w:rPr>
      </w:pPr>
      <w:r>
        <w:rPr>
          <w:rFonts w:hint="eastAsia" w:ascii="黑体" w:hAnsi="黑体" w:eastAsia="黑体" w:cs="黑体"/>
          <w:bCs/>
          <w:kern w:val="0"/>
          <w:sz w:val="32"/>
          <w:szCs w:val="32"/>
        </w:rPr>
        <w:t>十二、加强中标后续管理</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一）招标人和中标人应当自《中标通知书》发出之日起30日内，按照招标文件和中标人的投标文件订立书面合同，合同的标的、价款、质量、履行期限等主要条款，应当与招标文件和中标人的投标文件的内容一致；招标人和中标人不得另行订立背离合同实质性内容的其他协议。</w:t>
      </w:r>
    </w:p>
    <w:p>
      <w:pPr>
        <w:shd w:val="clear" w:color="000000" w:fill="FFFFFF"/>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（二）加强对施工项目负责人（建造师）的管理。中标人应当严格按照投标承诺履行义务，不得擅自更换施工项目负责人（建造师）。</w:t>
      </w:r>
    </w:p>
    <w:p>
      <w:pPr>
        <w:shd w:val="clear" w:color="000000" w:fill="FFFFFF"/>
        <w:spacing w:before="0" w:beforeAutospacing="0" w:after="0" w:line="600" w:lineRule="exact"/>
        <w:ind w:firstLine="160"/>
        <w:rPr>
          <w:rFonts w:ascii="仿宋" w:hAnsi="仿宋" w:eastAsia="仿宋" w:cs="宋体"/>
          <w:color w:val="333333"/>
          <w:kern w:val="0"/>
          <w:sz w:val="32"/>
          <w:szCs w:val="32"/>
        </w:rPr>
      </w:pPr>
      <w:r>
        <w:rPr>
          <w:rFonts w:hint="eastAsia" w:ascii="仿宋" w:hAnsi="仿宋" w:eastAsia="仿宋"/>
          <w:sz w:val="32"/>
          <w:szCs w:val="32"/>
        </w:rPr>
        <w:t xml:space="preserve">  （三）加强对中标施工企业项目管理人员在岗履职情况的检查。投标人在投标文件中承诺的施工项目负责人（建造师）、技术负责人、质量管理员和安全管理员应作为合同组成部分，必须在合同履行中落实到位。业主单位和监理单位应当做好中标施工企业项目管理人员到位情况的记录。各级住房城乡建设行政主管部门应当加强监督检查，严肃核查质量安全违法违规、中标后转包、违法分包、工人工资支付不规范等行为，要通过定期和不定期相结合的方式，对中标施工企业现场管理人员到位情况进行检查。中标人未按投标文件履行承诺的，招标人应当要求中标人承担违约责任，并将违规行为上报各级住房城乡建设行政主管部门，由主管部门依据相关规定对中标人作出限制市场准入。</w:t>
      </w:r>
    </w:p>
    <w:p>
      <w:pPr>
        <w:spacing w:before="0" w:beforeAutospacing="0" w:after="0" w:line="600" w:lineRule="exact"/>
        <w:ind w:firstLine="640" w:firstLineChars="200"/>
        <w:rPr>
          <w:rFonts w:ascii="黑体" w:hAnsi="黑体" w:eastAsia="黑体" w:cs="黑体"/>
          <w:bCs/>
          <w:color w:val="333333"/>
          <w:kern w:val="0"/>
          <w:sz w:val="32"/>
          <w:szCs w:val="32"/>
        </w:rPr>
      </w:pPr>
      <w:r>
        <w:rPr>
          <w:rFonts w:hint="eastAsia" w:ascii="黑体" w:hAnsi="黑体" w:eastAsia="黑体" w:cs="黑体"/>
          <w:bCs/>
          <w:kern w:val="0"/>
          <w:sz w:val="32"/>
          <w:szCs w:val="32"/>
        </w:rPr>
        <w:t>十三、加强招标模式管理</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采用资格后审的建设工程施工招标及</w:t>
      </w:r>
      <w:r>
        <w:rPr>
          <w:rFonts w:hint="eastAsia" w:ascii="仿宋" w:hAnsi="仿宋" w:eastAsia="仿宋"/>
          <w:sz w:val="32"/>
          <w:szCs w:val="32"/>
          <w:lang w:val="en-US" w:eastAsia="zh-CN"/>
        </w:rPr>
        <w:t>工程总承包</w:t>
      </w:r>
      <w:r>
        <w:rPr>
          <w:rFonts w:hint="eastAsia" w:ascii="仿宋" w:hAnsi="仿宋" w:eastAsia="仿宋"/>
          <w:sz w:val="32"/>
          <w:szCs w:val="32"/>
        </w:rPr>
        <w:t>招标模式的，属大型公共建筑、20层以上居住建筑或城市快速道路、主干道的建设工程，应实行“评定分离”办法。其他建设工程原则上实行“评定分离”办法，也可采取“综合评分法”。招标人应在招标文件载明具体办法。</w:t>
      </w:r>
    </w:p>
    <w:p>
      <w:pPr>
        <w:spacing w:before="0" w:beforeAutospacing="0" w:after="0"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 xml:space="preserve"> 实行“评定分离”办法</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1.选标环节</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（1）开标时，投标人数量超过50名的，招标人采用诚信报价综合法先确定50名入围投标人，再以诚信分排序确定20名入围正式投标人。具体操作如下：</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诚信报价综合得分的方法（满分为</w:t>
      </w:r>
      <w:r>
        <w:rPr>
          <w:rFonts w:ascii="仿宋" w:hAnsi="仿宋" w:eastAsia="仿宋"/>
          <w:sz w:val="32"/>
          <w:szCs w:val="32"/>
        </w:rPr>
        <w:t>100</w:t>
      </w:r>
      <w:r>
        <w:rPr>
          <w:rFonts w:hint="eastAsia" w:ascii="仿宋" w:hAnsi="仿宋" w:eastAsia="仿宋"/>
          <w:sz w:val="32"/>
          <w:szCs w:val="32"/>
        </w:rPr>
        <w:t>分），即：投标人诚信报价综合得分（</w:t>
      </w:r>
      <w:r>
        <w:rPr>
          <w:rFonts w:ascii="仿宋" w:hAnsi="仿宋" w:eastAsia="仿宋"/>
          <w:sz w:val="32"/>
          <w:szCs w:val="32"/>
        </w:rPr>
        <w:t>A</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报价得分（</w:t>
      </w:r>
      <w:r>
        <w:rPr>
          <w:rFonts w:ascii="仿宋" w:hAnsi="仿宋" w:eastAsia="仿宋"/>
          <w:sz w:val="32"/>
          <w:szCs w:val="32"/>
        </w:rPr>
        <w:t>B</w:t>
      </w:r>
      <w:r>
        <w:rPr>
          <w:rFonts w:hint="eastAsia" w:ascii="仿宋" w:hAnsi="仿宋" w:eastAsia="仿宋"/>
          <w:sz w:val="32"/>
          <w:szCs w:val="32"/>
        </w:rPr>
        <w:t>）＋诚信得分（</w:t>
      </w:r>
      <w:r>
        <w:rPr>
          <w:rFonts w:ascii="仿宋" w:hAnsi="仿宋" w:eastAsia="仿宋"/>
          <w:sz w:val="32"/>
          <w:szCs w:val="32"/>
        </w:rPr>
        <w:t>C</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投标报价基准分（</w:t>
      </w:r>
      <w:r>
        <w:rPr>
          <w:rFonts w:ascii="仿宋" w:hAnsi="仿宋" w:eastAsia="仿宋"/>
          <w:sz w:val="32"/>
          <w:szCs w:val="32"/>
        </w:rPr>
        <w:t>B1</w:t>
      </w:r>
      <w:r>
        <w:rPr>
          <w:rFonts w:hint="eastAsia" w:ascii="仿宋" w:hAnsi="仿宋" w:eastAsia="仿宋"/>
          <w:sz w:val="32"/>
          <w:szCs w:val="32"/>
        </w:rPr>
        <w:t>）×投标报价分权重（</w:t>
      </w:r>
      <w:r>
        <w:rPr>
          <w:rFonts w:ascii="仿宋" w:hAnsi="仿宋" w:eastAsia="仿宋"/>
          <w:sz w:val="32"/>
          <w:szCs w:val="32"/>
        </w:rPr>
        <w:t>K1</w:t>
      </w:r>
      <w:r>
        <w:rPr>
          <w:rFonts w:hint="eastAsia" w:ascii="仿宋" w:hAnsi="仿宋" w:eastAsia="仿宋"/>
          <w:sz w:val="32"/>
          <w:szCs w:val="32"/>
        </w:rPr>
        <w:t>）＋诚信排序分（</w:t>
      </w:r>
      <w:r>
        <w:rPr>
          <w:rFonts w:ascii="仿宋" w:hAnsi="仿宋" w:eastAsia="仿宋"/>
          <w:sz w:val="32"/>
          <w:szCs w:val="32"/>
        </w:rPr>
        <w:t>C1</w:t>
      </w:r>
      <w:r>
        <w:rPr>
          <w:rFonts w:hint="eastAsia" w:ascii="仿宋" w:hAnsi="仿宋" w:eastAsia="仿宋"/>
          <w:sz w:val="32"/>
          <w:szCs w:val="32"/>
        </w:rPr>
        <w:t>）×诚信分权重（</w:t>
      </w:r>
      <w:r>
        <w:rPr>
          <w:rFonts w:ascii="仿宋" w:hAnsi="仿宋" w:eastAsia="仿宋"/>
          <w:sz w:val="32"/>
          <w:szCs w:val="32"/>
        </w:rPr>
        <w:t>K2</w:t>
      </w:r>
      <w:r>
        <w:rPr>
          <w:rFonts w:hint="eastAsia" w:ascii="仿宋" w:hAnsi="仿宋" w:eastAsia="仿宋"/>
          <w:sz w:val="32"/>
          <w:szCs w:val="32"/>
        </w:rPr>
        <w:t>）。</w:t>
      </w:r>
    </w:p>
    <w:p>
      <w:pPr>
        <w:spacing w:before="0" w:beforeAutospacing="0" w:after="0" w:line="600" w:lineRule="exact"/>
        <w:ind w:firstLine="960" w:firstLineChars="300"/>
        <w:rPr>
          <w:rFonts w:hint="eastAsia" w:ascii="仿宋" w:hAnsi="仿宋" w:eastAsia="仿宋"/>
          <w:sz w:val="32"/>
          <w:szCs w:val="32"/>
          <w:lang w:eastAsia="zh-CN"/>
        </w:rPr>
      </w:pPr>
      <w:r>
        <w:rPr>
          <w:rFonts w:hint="eastAsia" w:ascii="仿宋" w:hAnsi="仿宋" w:eastAsia="仿宋"/>
          <w:sz w:val="32"/>
          <w:szCs w:val="32"/>
          <w:lang w:eastAsia="zh-CN"/>
        </w:rPr>
        <w:t>诚信分权重按</w:t>
      </w:r>
      <w:r>
        <w:rPr>
          <w:rFonts w:hint="eastAsia" w:ascii="仿宋" w:hAnsi="仿宋" w:eastAsia="仿宋"/>
          <w:sz w:val="32"/>
          <w:szCs w:val="32"/>
          <w:lang w:val="en-US" w:eastAsia="zh-CN"/>
        </w:rPr>
        <w:t>3</w:t>
      </w:r>
      <w:r>
        <w:rPr>
          <w:rFonts w:hint="eastAsia" w:ascii="仿宋" w:hAnsi="仿宋" w:eastAsia="仿宋"/>
          <w:sz w:val="32"/>
          <w:szCs w:val="32"/>
          <w:lang w:eastAsia="zh-CN"/>
        </w:rPr>
        <w:t>0%--</w:t>
      </w:r>
      <w:r>
        <w:rPr>
          <w:rFonts w:hint="eastAsia" w:ascii="仿宋" w:hAnsi="仿宋" w:eastAsia="仿宋"/>
          <w:sz w:val="32"/>
          <w:szCs w:val="32"/>
          <w:lang w:val="en-US" w:eastAsia="zh-CN"/>
        </w:rPr>
        <w:t>6</w:t>
      </w:r>
      <w:r>
        <w:rPr>
          <w:rFonts w:hint="eastAsia" w:ascii="仿宋" w:hAnsi="仿宋" w:eastAsia="仿宋"/>
          <w:sz w:val="32"/>
          <w:szCs w:val="32"/>
          <w:lang w:eastAsia="zh-CN"/>
        </w:rPr>
        <w:t>0%计算，投标人的报价分权重按</w:t>
      </w:r>
      <w:r>
        <w:rPr>
          <w:rFonts w:hint="eastAsia" w:ascii="仿宋" w:hAnsi="仿宋" w:eastAsia="仿宋"/>
          <w:sz w:val="32"/>
          <w:szCs w:val="32"/>
          <w:lang w:val="en-US" w:eastAsia="zh-CN"/>
        </w:rPr>
        <w:t>4</w:t>
      </w:r>
      <w:r>
        <w:rPr>
          <w:rFonts w:hint="eastAsia" w:ascii="仿宋" w:hAnsi="仿宋" w:eastAsia="仿宋"/>
          <w:sz w:val="32"/>
          <w:szCs w:val="32"/>
          <w:lang w:eastAsia="zh-CN"/>
        </w:rPr>
        <w:t>0%--</w:t>
      </w:r>
      <w:r>
        <w:rPr>
          <w:rFonts w:hint="eastAsia" w:ascii="仿宋" w:hAnsi="仿宋" w:eastAsia="仿宋"/>
          <w:sz w:val="32"/>
          <w:szCs w:val="32"/>
          <w:lang w:val="en-US" w:eastAsia="zh-CN"/>
        </w:rPr>
        <w:t>7</w:t>
      </w:r>
      <w:r>
        <w:rPr>
          <w:rFonts w:hint="eastAsia" w:ascii="仿宋" w:hAnsi="仿宋" w:eastAsia="仿宋"/>
          <w:sz w:val="32"/>
          <w:szCs w:val="32"/>
          <w:lang w:eastAsia="zh-CN"/>
        </w:rPr>
        <w:t>0%计算。</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①投标报价得分</w:t>
      </w:r>
      <w:r>
        <w:rPr>
          <w:rFonts w:ascii="仿宋" w:hAnsi="仿宋" w:eastAsia="仿宋"/>
          <w:sz w:val="32"/>
          <w:szCs w:val="32"/>
        </w:rPr>
        <w:t>B</w:t>
      </w:r>
      <w:r>
        <w:rPr>
          <w:rFonts w:hint="eastAsia" w:ascii="仿宋" w:hAnsi="仿宋" w:eastAsia="仿宋"/>
          <w:sz w:val="32"/>
          <w:szCs w:val="32"/>
        </w:rPr>
        <w:t>的确定：</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开标时，在交易大厅开启并宣读投标人的投标报价，由投标人代表签字确认并现场公布。</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计算所有投标人降点率（施工招标降点率设定5</w:t>
      </w:r>
      <w:r>
        <w:rPr>
          <w:rFonts w:ascii="仿宋" w:hAnsi="仿宋" w:eastAsia="仿宋"/>
          <w:sz w:val="32"/>
          <w:szCs w:val="32"/>
        </w:rPr>
        <w:t>%</w:t>
      </w: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sz w:val="32"/>
          <w:szCs w:val="32"/>
          <w:lang w:val="en-US" w:eastAsia="zh-CN"/>
        </w:rPr>
        <w:t>工程总承包</w:t>
      </w:r>
      <w:r>
        <w:rPr>
          <w:rFonts w:hint="eastAsia" w:ascii="仿宋" w:hAnsi="仿宋" w:eastAsia="仿宋"/>
          <w:sz w:val="32"/>
          <w:szCs w:val="32"/>
        </w:rPr>
        <w:t>为5%—15%）的平均值，取该平均值为平均下浮系数。将工程概算价或预算价减去文明安全措施费，作为计算基数P，将P乘以下浮系数得出</w:t>
      </w:r>
      <w:r>
        <w:rPr>
          <w:rFonts w:ascii="仿宋" w:hAnsi="仿宋" w:eastAsia="仿宋"/>
          <w:sz w:val="32"/>
          <w:szCs w:val="32"/>
        </w:rPr>
        <w:t>X</w:t>
      </w:r>
      <w:r>
        <w:rPr>
          <w:rFonts w:hint="eastAsia" w:ascii="仿宋" w:hAnsi="仿宋" w:eastAsia="仿宋"/>
          <w:sz w:val="32"/>
          <w:szCs w:val="32"/>
        </w:rPr>
        <w:t xml:space="preserve">值。 </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取最接近</w:t>
      </w:r>
      <w:r>
        <w:rPr>
          <w:rFonts w:ascii="仿宋" w:hAnsi="仿宋" w:eastAsia="仿宋"/>
          <w:sz w:val="32"/>
          <w:szCs w:val="32"/>
        </w:rPr>
        <w:t>X</w:t>
      </w:r>
      <w:r>
        <w:rPr>
          <w:rFonts w:hint="eastAsia" w:ascii="仿宋" w:hAnsi="仿宋" w:eastAsia="仿宋"/>
          <w:sz w:val="32"/>
          <w:szCs w:val="32"/>
        </w:rPr>
        <w:t>值的投标报价的投标人为第一名，其余投标人名次按其投标报价与</w:t>
      </w:r>
      <w:r>
        <w:rPr>
          <w:rFonts w:ascii="仿宋" w:hAnsi="仿宋" w:eastAsia="仿宋"/>
          <w:sz w:val="32"/>
          <w:szCs w:val="32"/>
        </w:rPr>
        <w:t>X</w:t>
      </w:r>
      <w:r>
        <w:rPr>
          <w:rFonts w:hint="eastAsia" w:ascii="仿宋" w:hAnsi="仿宋" w:eastAsia="仿宋"/>
          <w:sz w:val="32"/>
          <w:szCs w:val="32"/>
        </w:rPr>
        <w:t>值之差的绝对值小的排名靠前的原则对各投标人进行排序（绝对值相同的，低于</w:t>
      </w:r>
      <w:r>
        <w:rPr>
          <w:rFonts w:ascii="仿宋" w:hAnsi="仿宋" w:eastAsia="仿宋"/>
          <w:sz w:val="32"/>
          <w:szCs w:val="32"/>
        </w:rPr>
        <w:t>X</w:t>
      </w:r>
      <w:r>
        <w:rPr>
          <w:rFonts w:hint="eastAsia" w:ascii="仿宋" w:hAnsi="仿宋" w:eastAsia="仿宋"/>
          <w:sz w:val="32"/>
          <w:szCs w:val="32"/>
        </w:rPr>
        <w:t>值的投标人排名靠前），以第一名</w:t>
      </w:r>
      <w:r>
        <w:rPr>
          <w:rFonts w:ascii="仿宋" w:hAnsi="仿宋" w:eastAsia="仿宋"/>
          <w:sz w:val="32"/>
          <w:szCs w:val="32"/>
        </w:rPr>
        <w:t>100</w:t>
      </w:r>
      <w:r>
        <w:rPr>
          <w:rFonts w:hint="eastAsia" w:ascii="仿宋" w:hAnsi="仿宋" w:eastAsia="仿宋"/>
          <w:sz w:val="32"/>
          <w:szCs w:val="32"/>
        </w:rPr>
        <w:t>分，第二名98分按每名次分差2分的标准进行计算，得出其投标报价基准分</w:t>
      </w:r>
      <w:r>
        <w:rPr>
          <w:rFonts w:ascii="仿宋" w:hAnsi="仿宋" w:eastAsia="仿宋"/>
          <w:sz w:val="32"/>
          <w:szCs w:val="32"/>
        </w:rPr>
        <w:t>B1</w:t>
      </w:r>
      <w:r>
        <w:rPr>
          <w:rFonts w:hint="eastAsia" w:ascii="仿宋" w:hAnsi="仿宋" w:eastAsia="仿宋"/>
          <w:sz w:val="32"/>
          <w:szCs w:val="32"/>
        </w:rPr>
        <w:t>（第五十一名及以后的基准分</w:t>
      </w:r>
      <w:r>
        <w:rPr>
          <w:rFonts w:ascii="仿宋" w:hAnsi="仿宋" w:eastAsia="仿宋"/>
          <w:sz w:val="32"/>
          <w:szCs w:val="32"/>
        </w:rPr>
        <w:t>B1</w:t>
      </w:r>
      <w:r>
        <w:rPr>
          <w:rFonts w:hint="eastAsia" w:ascii="仿宋" w:hAnsi="仿宋" w:eastAsia="仿宋"/>
          <w:sz w:val="32"/>
          <w:szCs w:val="32"/>
        </w:rPr>
        <w:t>按</w:t>
      </w:r>
      <w:r>
        <w:rPr>
          <w:rFonts w:ascii="仿宋" w:hAnsi="仿宋" w:eastAsia="仿宋"/>
          <w:sz w:val="32"/>
          <w:szCs w:val="32"/>
        </w:rPr>
        <w:t>0</w:t>
      </w:r>
      <w:r>
        <w:rPr>
          <w:rFonts w:hint="eastAsia" w:ascii="仿宋" w:hAnsi="仿宋" w:eastAsia="仿宋"/>
          <w:sz w:val="32"/>
          <w:szCs w:val="32"/>
        </w:rPr>
        <w:t>分计算）。用该基准分乘以投标报价权重值</w:t>
      </w:r>
      <w:r>
        <w:rPr>
          <w:rFonts w:ascii="仿宋" w:hAnsi="仿宋" w:eastAsia="仿宋"/>
          <w:sz w:val="32"/>
          <w:szCs w:val="32"/>
        </w:rPr>
        <w:t>K1</w:t>
      </w:r>
      <w:r>
        <w:rPr>
          <w:rFonts w:hint="eastAsia" w:ascii="仿宋" w:hAnsi="仿宋" w:eastAsia="仿宋"/>
          <w:sz w:val="32"/>
          <w:szCs w:val="32"/>
        </w:rPr>
        <w:t>，所得分值即为该投标人投标报价得分</w:t>
      </w:r>
      <w:r>
        <w:rPr>
          <w:rFonts w:ascii="仿宋" w:hAnsi="仿宋" w:eastAsia="仿宋"/>
          <w:sz w:val="32"/>
          <w:szCs w:val="32"/>
        </w:rPr>
        <w:t>B</w:t>
      </w:r>
      <w:r>
        <w:rPr>
          <w:rFonts w:hint="eastAsia" w:ascii="仿宋" w:hAnsi="仿宋" w:eastAsia="仿宋"/>
          <w:sz w:val="32"/>
          <w:szCs w:val="32"/>
        </w:rPr>
        <w:t>，该项最低得分为</w:t>
      </w:r>
      <w:r>
        <w:rPr>
          <w:rFonts w:ascii="仿宋" w:hAnsi="仿宋" w:eastAsia="仿宋"/>
          <w:sz w:val="32"/>
          <w:szCs w:val="32"/>
        </w:rPr>
        <w:t>0</w:t>
      </w:r>
      <w:r>
        <w:rPr>
          <w:rFonts w:hint="eastAsia" w:ascii="仿宋" w:hAnsi="仿宋" w:eastAsia="仿宋"/>
          <w:sz w:val="32"/>
          <w:szCs w:val="32"/>
        </w:rPr>
        <w:t>分。</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具体计算公式如下：</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投标报价得分</w:t>
      </w:r>
      <w:r>
        <w:rPr>
          <w:rFonts w:ascii="仿宋" w:hAnsi="仿宋" w:eastAsia="仿宋"/>
          <w:sz w:val="32"/>
          <w:szCs w:val="32"/>
        </w:rPr>
        <w:t>B= B1</w:t>
      </w:r>
      <w:r>
        <w:rPr>
          <w:rFonts w:hint="eastAsia" w:ascii="仿宋" w:hAnsi="仿宋" w:eastAsia="仿宋"/>
          <w:sz w:val="32"/>
          <w:szCs w:val="32"/>
        </w:rPr>
        <w:t>×</w:t>
      </w:r>
      <w:r>
        <w:rPr>
          <w:rFonts w:ascii="仿宋" w:hAnsi="仿宋" w:eastAsia="仿宋"/>
          <w:sz w:val="32"/>
          <w:szCs w:val="32"/>
        </w:rPr>
        <w:t>K1=[100-</w:t>
      </w:r>
      <w:r>
        <w:rPr>
          <w:rFonts w:hint="eastAsia" w:ascii="仿宋" w:hAnsi="仿宋" w:eastAsia="仿宋"/>
          <w:sz w:val="32"/>
          <w:szCs w:val="32"/>
        </w:rPr>
        <w:t>（</w:t>
      </w:r>
      <w:r>
        <w:rPr>
          <w:rFonts w:ascii="仿宋" w:hAnsi="仿宋" w:eastAsia="仿宋"/>
          <w:sz w:val="32"/>
          <w:szCs w:val="32"/>
        </w:rPr>
        <w:t>N-1</w:t>
      </w:r>
      <w:r>
        <w:rPr>
          <w:rFonts w:hint="eastAsia" w:ascii="仿宋" w:hAnsi="仿宋" w:eastAsia="仿宋"/>
          <w:sz w:val="32"/>
          <w:szCs w:val="32"/>
        </w:rPr>
        <w:t>）×2</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K1</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其中：</w:t>
      </w:r>
      <w:r>
        <w:rPr>
          <w:rFonts w:ascii="仿宋" w:hAnsi="仿宋" w:eastAsia="仿宋"/>
          <w:sz w:val="32"/>
          <w:szCs w:val="32"/>
        </w:rPr>
        <w:t>N</w:t>
      </w:r>
      <w:r>
        <w:rPr>
          <w:rFonts w:hint="eastAsia" w:ascii="仿宋" w:hAnsi="仿宋" w:eastAsia="仿宋"/>
          <w:sz w:val="32"/>
          <w:szCs w:val="32"/>
        </w:rPr>
        <w:t>为排名，</w:t>
      </w:r>
      <w:r>
        <w:rPr>
          <w:rFonts w:ascii="仿宋" w:hAnsi="仿宋" w:eastAsia="仿宋"/>
          <w:sz w:val="32"/>
          <w:szCs w:val="32"/>
        </w:rPr>
        <w:t>B1</w:t>
      </w:r>
      <w:r>
        <w:rPr>
          <w:rFonts w:hint="eastAsia" w:ascii="仿宋" w:hAnsi="仿宋" w:eastAsia="仿宋"/>
          <w:sz w:val="32"/>
          <w:szCs w:val="32"/>
        </w:rPr>
        <w:t>为投标报价基准分，</w:t>
      </w:r>
      <w:r>
        <w:rPr>
          <w:rFonts w:ascii="仿宋" w:hAnsi="仿宋" w:eastAsia="仿宋"/>
          <w:sz w:val="32"/>
          <w:szCs w:val="32"/>
        </w:rPr>
        <w:t>K1</w:t>
      </w:r>
      <w:r>
        <w:rPr>
          <w:rFonts w:hint="eastAsia" w:ascii="仿宋" w:hAnsi="仿宋" w:eastAsia="仿宋"/>
          <w:sz w:val="32"/>
          <w:szCs w:val="32"/>
        </w:rPr>
        <w:t>投标报价分权重值。</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②诚信得分</w:t>
      </w:r>
      <w:r>
        <w:rPr>
          <w:rFonts w:ascii="仿宋" w:hAnsi="仿宋" w:eastAsia="仿宋"/>
          <w:sz w:val="32"/>
          <w:szCs w:val="32"/>
        </w:rPr>
        <w:t>C</w:t>
      </w:r>
      <w:r>
        <w:rPr>
          <w:rFonts w:hint="eastAsia" w:ascii="仿宋" w:hAnsi="仿宋" w:eastAsia="仿宋"/>
          <w:sz w:val="32"/>
          <w:szCs w:val="32"/>
        </w:rPr>
        <w:t>的确定：</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诚信得分以开标当天在施工企业诚信综合评价业务信息系统中公布的相应资质类别诚信得分高低进行排序，诚信排序分</w:t>
      </w:r>
      <w:r>
        <w:rPr>
          <w:rFonts w:ascii="仿宋" w:hAnsi="仿宋" w:eastAsia="仿宋"/>
          <w:sz w:val="32"/>
          <w:szCs w:val="32"/>
        </w:rPr>
        <w:t>C1</w:t>
      </w:r>
      <w:r>
        <w:rPr>
          <w:rFonts w:hint="eastAsia" w:ascii="仿宋" w:hAnsi="仿宋" w:eastAsia="仿宋"/>
          <w:sz w:val="32"/>
          <w:szCs w:val="32"/>
        </w:rPr>
        <w:t>乘以诚信分权重</w:t>
      </w:r>
      <w:r>
        <w:rPr>
          <w:rFonts w:ascii="仿宋" w:hAnsi="仿宋" w:eastAsia="仿宋"/>
          <w:sz w:val="32"/>
          <w:szCs w:val="32"/>
        </w:rPr>
        <w:t>K2</w:t>
      </w:r>
      <w:r>
        <w:rPr>
          <w:rFonts w:hint="eastAsia" w:ascii="仿宋" w:hAnsi="仿宋" w:eastAsia="仿宋"/>
          <w:sz w:val="32"/>
          <w:szCs w:val="32"/>
        </w:rPr>
        <w:t>计算得出诚信得分</w:t>
      </w:r>
      <w:r>
        <w:rPr>
          <w:rFonts w:ascii="仿宋" w:hAnsi="仿宋" w:eastAsia="仿宋"/>
          <w:sz w:val="32"/>
          <w:szCs w:val="32"/>
        </w:rPr>
        <w:t>C</w:t>
      </w:r>
      <w:r>
        <w:rPr>
          <w:rFonts w:hint="eastAsia" w:ascii="仿宋" w:hAnsi="仿宋" w:eastAsia="仿宋"/>
          <w:sz w:val="32"/>
          <w:szCs w:val="32"/>
        </w:rPr>
        <w:t>。</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其中，诚信排序分</w:t>
      </w:r>
      <w:r>
        <w:rPr>
          <w:rFonts w:ascii="仿宋" w:hAnsi="仿宋" w:eastAsia="仿宋"/>
          <w:sz w:val="32"/>
          <w:szCs w:val="32"/>
        </w:rPr>
        <w:t>C1</w:t>
      </w:r>
      <w:r>
        <w:rPr>
          <w:rFonts w:hint="eastAsia" w:ascii="仿宋" w:hAnsi="仿宋" w:eastAsia="仿宋"/>
          <w:sz w:val="32"/>
          <w:szCs w:val="32"/>
        </w:rPr>
        <w:t>以第一名</w:t>
      </w:r>
      <w:r>
        <w:rPr>
          <w:rFonts w:ascii="仿宋" w:hAnsi="仿宋" w:eastAsia="仿宋"/>
          <w:sz w:val="32"/>
          <w:szCs w:val="32"/>
        </w:rPr>
        <w:t>100</w:t>
      </w:r>
      <w:r>
        <w:rPr>
          <w:rFonts w:hint="eastAsia" w:ascii="仿宋" w:hAnsi="仿宋" w:eastAsia="仿宋"/>
          <w:sz w:val="32"/>
          <w:szCs w:val="32"/>
        </w:rPr>
        <w:t>分，第二名</w:t>
      </w:r>
      <w:r>
        <w:rPr>
          <w:rFonts w:ascii="仿宋" w:hAnsi="仿宋" w:eastAsia="仿宋"/>
          <w:sz w:val="32"/>
          <w:szCs w:val="32"/>
        </w:rPr>
        <w:t>98</w:t>
      </w:r>
      <w:r>
        <w:rPr>
          <w:rFonts w:hint="eastAsia" w:ascii="仿宋" w:hAnsi="仿宋" w:eastAsia="仿宋"/>
          <w:sz w:val="32"/>
          <w:szCs w:val="32"/>
        </w:rPr>
        <w:t>分按每名次分差2分的标准进行计算（第五十一名及以后的诚信排序分</w:t>
      </w:r>
      <w:r>
        <w:rPr>
          <w:rFonts w:ascii="仿宋" w:hAnsi="仿宋" w:eastAsia="仿宋"/>
          <w:sz w:val="32"/>
          <w:szCs w:val="32"/>
        </w:rPr>
        <w:t>C1</w:t>
      </w:r>
      <w:r>
        <w:rPr>
          <w:rFonts w:hint="eastAsia" w:ascii="仿宋" w:hAnsi="仿宋" w:eastAsia="仿宋"/>
          <w:sz w:val="32"/>
          <w:szCs w:val="32"/>
        </w:rPr>
        <w:t>按</w:t>
      </w:r>
      <w:r>
        <w:rPr>
          <w:rFonts w:ascii="仿宋" w:hAnsi="仿宋" w:eastAsia="仿宋"/>
          <w:sz w:val="32"/>
          <w:szCs w:val="32"/>
        </w:rPr>
        <w:t>0</w:t>
      </w:r>
      <w:r>
        <w:rPr>
          <w:rFonts w:hint="eastAsia" w:ascii="仿宋" w:hAnsi="仿宋" w:eastAsia="仿宋"/>
          <w:sz w:val="32"/>
          <w:szCs w:val="32"/>
        </w:rPr>
        <w:t>分计算）。</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具体计算公式如下：</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诚信得分</w:t>
      </w:r>
      <w:r>
        <w:rPr>
          <w:rFonts w:ascii="仿宋" w:hAnsi="仿宋" w:eastAsia="仿宋"/>
          <w:sz w:val="32"/>
          <w:szCs w:val="32"/>
        </w:rPr>
        <w:t>C= C1</w:t>
      </w:r>
      <w:r>
        <w:rPr>
          <w:rFonts w:hint="eastAsia" w:ascii="仿宋" w:hAnsi="仿宋" w:eastAsia="仿宋"/>
          <w:sz w:val="32"/>
          <w:szCs w:val="32"/>
        </w:rPr>
        <w:t>×</w:t>
      </w:r>
      <w:r>
        <w:rPr>
          <w:rFonts w:ascii="仿宋" w:hAnsi="仿宋" w:eastAsia="仿宋"/>
          <w:sz w:val="32"/>
          <w:szCs w:val="32"/>
        </w:rPr>
        <w:t>K2</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其中：</w:t>
      </w:r>
      <w:r>
        <w:rPr>
          <w:rFonts w:ascii="仿宋" w:hAnsi="仿宋" w:eastAsia="仿宋"/>
          <w:sz w:val="32"/>
          <w:szCs w:val="32"/>
        </w:rPr>
        <w:t>C1</w:t>
      </w:r>
      <w:r>
        <w:rPr>
          <w:rFonts w:hint="eastAsia" w:ascii="仿宋" w:hAnsi="仿宋" w:eastAsia="仿宋"/>
          <w:sz w:val="32"/>
          <w:szCs w:val="32"/>
        </w:rPr>
        <w:t>为诚信排序分，</w:t>
      </w:r>
      <w:r>
        <w:rPr>
          <w:rFonts w:ascii="仿宋" w:hAnsi="仿宋" w:eastAsia="仿宋"/>
          <w:sz w:val="32"/>
          <w:szCs w:val="32"/>
        </w:rPr>
        <w:t>K2</w:t>
      </w:r>
      <w:r>
        <w:rPr>
          <w:rFonts w:hint="eastAsia" w:ascii="仿宋" w:hAnsi="仿宋" w:eastAsia="仿宋"/>
          <w:sz w:val="32"/>
          <w:szCs w:val="32"/>
        </w:rPr>
        <w:t>为诚信分权重。</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③</w:t>
      </w:r>
      <w:r>
        <w:rPr>
          <w:rFonts w:hint="eastAsia" w:ascii="仿宋" w:hAnsi="仿宋" w:eastAsia="仿宋"/>
          <w:strike w:val="0"/>
          <w:dstrike w:val="0"/>
          <w:sz w:val="32"/>
          <w:szCs w:val="32"/>
        </w:rPr>
        <w:t>50名</w:t>
      </w:r>
      <w:r>
        <w:rPr>
          <w:rFonts w:hint="eastAsia" w:ascii="仿宋" w:hAnsi="仿宋" w:eastAsia="仿宋"/>
          <w:sz w:val="32"/>
          <w:szCs w:val="32"/>
        </w:rPr>
        <w:t>入围投标人的确定：</w:t>
      </w:r>
    </w:p>
    <w:p>
      <w:pPr>
        <w:spacing w:before="0" w:beforeAutospacing="0" w:after="0" w:line="600" w:lineRule="exact"/>
        <w:ind w:firstLine="640" w:firstLineChars="200"/>
        <w:rPr>
          <w:rFonts w:hint="eastAsia" w:ascii="仿宋" w:hAnsi="仿宋" w:eastAsia="仿宋"/>
          <w:sz w:val="32"/>
          <w:szCs w:val="32"/>
        </w:rPr>
      </w:pPr>
      <w:r>
        <w:rPr>
          <w:rFonts w:hint="eastAsia" w:ascii="仿宋" w:hAnsi="仿宋" w:eastAsia="仿宋"/>
          <w:sz w:val="32"/>
          <w:szCs w:val="32"/>
        </w:rPr>
        <w:t>按照投标人诚信报价综合得分从高至低进行排序，确定</w:t>
      </w:r>
      <w:r>
        <w:rPr>
          <w:rFonts w:hint="eastAsia" w:ascii="仿宋" w:hAnsi="仿宋" w:eastAsia="仿宋"/>
          <w:strike w:val="0"/>
          <w:dstrike w:val="0"/>
          <w:sz w:val="32"/>
          <w:szCs w:val="32"/>
        </w:rPr>
        <w:t>50名</w:t>
      </w:r>
      <w:r>
        <w:rPr>
          <w:rFonts w:hint="eastAsia" w:ascii="仿宋" w:hAnsi="仿宋" w:eastAsia="仿宋"/>
          <w:sz w:val="32"/>
          <w:szCs w:val="32"/>
        </w:rPr>
        <w:t>作为入围投标人进入下一环节。</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④20名入围正式投标人的确定：</w:t>
      </w:r>
    </w:p>
    <w:p>
      <w:pPr>
        <w:spacing w:before="0" w:beforeAutospacing="0" w:after="0" w:line="600" w:lineRule="exact"/>
        <w:ind w:firstLine="0" w:firstLineChars="0"/>
        <w:rPr>
          <w:rFonts w:ascii="仿宋" w:hAnsi="仿宋" w:eastAsia="仿宋" w:cs="宋体"/>
          <w:color w:val="333333"/>
          <w:kern w:val="0"/>
          <w:sz w:val="32"/>
          <w:szCs w:val="32"/>
        </w:rPr>
      </w:pPr>
      <w:r>
        <w:rPr>
          <w:rFonts w:hint="eastAsia" w:ascii="仿宋" w:hAnsi="仿宋" w:eastAsia="仿宋"/>
          <w:sz w:val="32"/>
          <w:szCs w:val="32"/>
        </w:rPr>
        <w:t xml:space="preserve">    由招标人按照</w:t>
      </w:r>
      <w:r>
        <w:rPr>
          <w:rFonts w:hint="eastAsia" w:ascii="仿宋" w:hAnsi="仿宋" w:eastAsia="仿宋"/>
          <w:strike w:val="0"/>
          <w:dstrike w:val="0"/>
          <w:sz w:val="32"/>
          <w:szCs w:val="32"/>
        </w:rPr>
        <w:t>50名</w:t>
      </w:r>
      <w:r>
        <w:rPr>
          <w:rFonts w:hint="eastAsia" w:ascii="仿宋" w:hAnsi="仿宋" w:eastAsia="仿宋"/>
          <w:sz w:val="32"/>
          <w:szCs w:val="32"/>
        </w:rPr>
        <w:t>入围投标人开标时在汕头市施工企业诚信综合评价体系中的等级排名，选排名前20名的作为入围正式投标人。如有并列的，由招标人按照招标文件中另行约定的筛选规则，确定20名入围正式投标人。</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（2）开标时，投标人数量超过20名、少于</w:t>
      </w:r>
      <w:r>
        <w:rPr>
          <w:rFonts w:hint="eastAsia" w:ascii="仿宋" w:hAnsi="仿宋" w:eastAsia="仿宋"/>
          <w:strike w:val="0"/>
          <w:dstrike w:val="0"/>
          <w:sz w:val="32"/>
          <w:szCs w:val="32"/>
        </w:rPr>
        <w:t>50名</w:t>
      </w:r>
      <w:r>
        <w:rPr>
          <w:rFonts w:hint="eastAsia" w:ascii="仿宋" w:hAnsi="仿宋" w:eastAsia="仿宋"/>
          <w:sz w:val="32"/>
          <w:szCs w:val="32"/>
        </w:rPr>
        <w:t>的，招标人采用诚信报价综合法直接确定20名入围正式投标人，诚信报价综合得分计算方法如前。</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（3）开标时，投标人数量少于20名的，招标人直接确定所有投标人为入围正式投标人。</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2.评标环节</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招标人依法组建评标委员会，评标委员会对入围正式投标人进行资格审查及符合性审查。在审查合格的投标人中，通过择优，向招标人推荐</w:t>
      </w:r>
      <w:r>
        <w:rPr>
          <w:rFonts w:hint="eastAsia" w:ascii="仿宋" w:hAnsi="仿宋" w:eastAsia="仿宋"/>
          <w:sz w:val="32"/>
          <w:szCs w:val="32"/>
          <w:lang w:val="en-US" w:eastAsia="zh-CN"/>
        </w:rPr>
        <w:t>3至7名</w:t>
      </w:r>
      <w:r>
        <w:rPr>
          <w:rFonts w:hint="eastAsia" w:ascii="仿宋" w:hAnsi="仿宋" w:eastAsia="仿宋"/>
          <w:sz w:val="32"/>
          <w:szCs w:val="32"/>
        </w:rPr>
        <w:t>优质投标人，不直接确定中标人。</w:t>
      </w:r>
    </w:p>
    <w:p>
      <w:pPr>
        <w:spacing w:before="0" w:beforeAutospacing="0" w:after="0" w:line="600" w:lineRule="exact"/>
        <w:ind w:firstLine="640" w:firstLineChars="200"/>
        <w:rPr>
          <w:rFonts w:hint="eastAsia" w:ascii="仿宋" w:hAnsi="仿宋" w:eastAsia="仿宋"/>
          <w:sz w:val="32"/>
          <w:szCs w:val="32"/>
        </w:rPr>
      </w:pPr>
      <w:r>
        <w:rPr>
          <w:rFonts w:hint="eastAsia" w:ascii="仿宋" w:hAnsi="仿宋" w:eastAsia="仿宋"/>
          <w:sz w:val="32"/>
          <w:szCs w:val="32"/>
        </w:rPr>
        <w:t>评标委员会所执行评审的择优标准，必须由招标人在招标文件中予以明示，其择优标准内容原则上在以下范围中选择确定：本行业主管部门或行业协会评定的荣誉，包括国家级荣誉奖项、省级荣誉奖项；企业应用新技术、新工艺，建造绿色建筑、节能建筑业绩；工程投标报价；企业过往承建工程规模及难易程度；企业履约评价；企业不良记录；诚信综合评价情况；企业对本招标项目技术熟知程度以及对项目施工作业环境因素的掌握程度等。</w:t>
      </w:r>
    </w:p>
    <w:p>
      <w:pPr>
        <w:spacing w:before="0" w:beforeAutospacing="0" w:after="0"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其中：大型公共建筑、20层以上居住建筑或城市快速道路、主干道的建设工程，投标报价分权重应当不低于总权重的</w:t>
      </w:r>
      <w:r>
        <w:rPr>
          <w:rFonts w:hint="eastAsia" w:ascii="仿宋" w:hAnsi="仿宋" w:eastAsia="仿宋"/>
          <w:sz w:val="32"/>
          <w:szCs w:val="32"/>
          <w:lang w:val="en-US" w:eastAsia="zh-CN"/>
        </w:rPr>
        <w:t>4</w:t>
      </w:r>
      <w:r>
        <w:rPr>
          <w:rFonts w:hint="eastAsia" w:ascii="仿宋" w:hAnsi="仿宋" w:eastAsia="仿宋"/>
          <w:sz w:val="32"/>
          <w:szCs w:val="32"/>
          <w:lang w:eastAsia="zh-CN"/>
        </w:rPr>
        <w:t>0％。其他建设工程投标报价分权重应当不低于总权重的</w:t>
      </w:r>
      <w:r>
        <w:rPr>
          <w:rFonts w:hint="eastAsia" w:ascii="仿宋" w:hAnsi="仿宋" w:eastAsia="仿宋"/>
          <w:sz w:val="32"/>
          <w:szCs w:val="32"/>
          <w:lang w:val="en-US" w:eastAsia="zh-CN"/>
        </w:rPr>
        <w:t>6</w:t>
      </w:r>
      <w:r>
        <w:rPr>
          <w:rFonts w:hint="eastAsia" w:ascii="仿宋" w:hAnsi="仿宋" w:eastAsia="仿宋"/>
          <w:sz w:val="32"/>
          <w:szCs w:val="32"/>
          <w:lang w:eastAsia="zh-CN"/>
        </w:rPr>
        <w:t>0％。投标报价分计算方法：计算所有</w:t>
      </w:r>
      <w:r>
        <w:rPr>
          <w:rFonts w:hint="eastAsia" w:ascii="仿宋" w:hAnsi="仿宋" w:eastAsia="仿宋"/>
          <w:sz w:val="32"/>
          <w:szCs w:val="32"/>
        </w:rPr>
        <w:t>入围正式投标人</w:t>
      </w:r>
      <w:r>
        <w:rPr>
          <w:rFonts w:hint="eastAsia" w:ascii="仿宋" w:hAnsi="仿宋" w:eastAsia="仿宋"/>
          <w:sz w:val="32"/>
          <w:szCs w:val="32"/>
          <w:lang w:eastAsia="zh-CN"/>
        </w:rPr>
        <w:t>投标报价的平均值为</w:t>
      </w:r>
      <w:r>
        <w:rPr>
          <w:rFonts w:hint="eastAsia" w:ascii="仿宋" w:hAnsi="仿宋" w:eastAsia="仿宋"/>
          <w:sz w:val="32"/>
          <w:szCs w:val="32"/>
          <w:lang w:val="en-US" w:eastAsia="zh-CN"/>
        </w:rPr>
        <w:t>A值</w:t>
      </w:r>
      <w:r>
        <w:rPr>
          <w:rFonts w:hint="eastAsia" w:ascii="仿宋" w:hAnsi="仿宋" w:eastAsia="仿宋"/>
          <w:sz w:val="32"/>
          <w:szCs w:val="32"/>
          <w:lang w:eastAsia="zh-CN"/>
        </w:rPr>
        <w:t>；取小于等于</w:t>
      </w:r>
      <w:r>
        <w:rPr>
          <w:rFonts w:hint="eastAsia" w:ascii="仿宋" w:hAnsi="仿宋" w:eastAsia="仿宋"/>
          <w:sz w:val="32"/>
          <w:szCs w:val="32"/>
          <w:lang w:val="en-US" w:eastAsia="zh-CN"/>
        </w:rPr>
        <w:t>A值的投标报价，计算平均值为B值；</w:t>
      </w:r>
      <w:r>
        <w:rPr>
          <w:rFonts w:hint="eastAsia" w:ascii="仿宋" w:hAnsi="仿宋" w:eastAsia="仿宋"/>
          <w:sz w:val="32"/>
          <w:szCs w:val="32"/>
          <w:lang w:eastAsia="zh-CN"/>
        </w:rPr>
        <w:t>取小于且最接近</w:t>
      </w:r>
      <w:r>
        <w:rPr>
          <w:rFonts w:hint="eastAsia" w:ascii="仿宋" w:hAnsi="仿宋" w:eastAsia="仿宋"/>
          <w:sz w:val="32"/>
          <w:szCs w:val="32"/>
          <w:lang w:val="en-US" w:eastAsia="zh-CN"/>
        </w:rPr>
        <w:t>B</w:t>
      </w:r>
      <w:r>
        <w:rPr>
          <w:rFonts w:hint="eastAsia" w:ascii="仿宋" w:hAnsi="仿宋" w:eastAsia="仿宋"/>
          <w:sz w:val="32"/>
          <w:szCs w:val="32"/>
          <w:lang w:eastAsia="zh-CN"/>
        </w:rPr>
        <w:t>值的投标报价的投标人，投标报价得分满分。其余投标人投标报价得分按其投标报价与</w:t>
      </w:r>
      <w:r>
        <w:rPr>
          <w:rFonts w:hint="eastAsia" w:ascii="仿宋" w:hAnsi="仿宋" w:eastAsia="仿宋"/>
          <w:sz w:val="32"/>
          <w:szCs w:val="32"/>
          <w:lang w:val="en-US" w:eastAsia="zh-CN"/>
        </w:rPr>
        <w:t>B</w:t>
      </w:r>
      <w:r>
        <w:rPr>
          <w:rFonts w:hint="eastAsia" w:ascii="仿宋" w:hAnsi="仿宋" w:eastAsia="仿宋"/>
          <w:sz w:val="32"/>
          <w:szCs w:val="32"/>
          <w:lang w:eastAsia="zh-CN"/>
        </w:rPr>
        <w:t>值之差的绝对值小的排名靠前或计算偏差率的原则对各投标人进行得分计算。</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评标完成后，评标委员会应当向招标人提交书面评标报告，根据招标文件要求推荐优质投标人并提交明确的评标结论。</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3.定标环节</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招标人负责组建定标委员会。招标人的法定代表人或者主要负责人对定标委员会的运行过程全面负责，并担任定标委员会组长。</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定标委员会成员原则上从招标人、业主或者项目使用单位及其上下级机构的相关负责人、经营管理人员中产生，成员数量为五人以上单数。</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定标委员会成员的产生应当符合招标人关于重要事项的决策制度。</w:t>
      </w:r>
    </w:p>
    <w:p>
      <w:pPr>
        <w:spacing w:before="0" w:beforeAutospacing="0" w:after="0" w:line="600" w:lineRule="exact"/>
        <w:ind w:firstLine="640" w:firstLineChars="200"/>
        <w:rPr>
          <w:rFonts w:ascii="仿宋" w:hAnsi="仿宋" w:eastAsia="仿宋"/>
          <w:sz w:val="32"/>
          <w:szCs w:val="32"/>
        </w:rPr>
      </w:pPr>
      <w:r>
        <w:rPr>
          <w:rFonts w:hint="eastAsia" w:ascii="仿宋" w:hAnsi="仿宋" w:eastAsia="仿宋"/>
          <w:sz w:val="32"/>
          <w:szCs w:val="32"/>
        </w:rPr>
        <w:t>在评标委员会推荐的优质投标人中，招标人采用下列方法或者下列方法的组合，通过择优</w:t>
      </w:r>
      <w:r>
        <w:rPr>
          <w:rFonts w:ascii="仿宋" w:hAnsi="仿宋" w:eastAsia="仿宋"/>
          <w:sz w:val="32"/>
          <w:szCs w:val="32"/>
        </w:rPr>
        <w:t>确定中标人。</w:t>
      </w:r>
      <w:r>
        <w:rPr>
          <w:rFonts w:hint="eastAsia" w:ascii="仿宋" w:hAnsi="仿宋" w:eastAsia="仿宋"/>
          <w:sz w:val="32"/>
          <w:szCs w:val="32"/>
        </w:rPr>
        <w:t>所有定标规则必须在招标文件中明确：</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（1）价格竞争定标法，按照招标文件规定的价格竞争方法确定中标人。</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（2）票决定标法，由招标人组建定标委员会以直接票决或者逐轮票决等方式确定中标人。</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3）集体议事法，由招标人组建定标委员会进行集体商议，定标委员会成员各自发表意见，由定标委员会组长最终确定中标人。所有参加会议的定标委员会成员的意见应当作书面记录，并由定标委员会成员签字确认。</w:t>
      </w:r>
    </w:p>
    <w:p>
      <w:pPr>
        <w:spacing w:before="0" w:beforeAutospacing="0" w:after="0" w:line="600" w:lineRule="exact"/>
        <w:ind w:firstLine="640" w:firstLineChars="200"/>
        <w:rPr>
          <w:rFonts w:hint="eastAsia" w:ascii="仿宋" w:hAnsi="仿宋" w:eastAsia="仿宋"/>
          <w:sz w:val="32"/>
          <w:szCs w:val="32"/>
        </w:rPr>
      </w:pPr>
      <w:r>
        <w:rPr>
          <w:rFonts w:hint="eastAsia" w:ascii="仿宋" w:hAnsi="仿宋" w:eastAsia="仿宋"/>
          <w:sz w:val="32"/>
          <w:szCs w:val="32"/>
        </w:rPr>
        <w:t>总投资在5亿元及以上的工程项目，招标人可将投标人的法定代表人在开标时到场情况，作为定标的重要因素。</w:t>
      </w:r>
    </w:p>
    <w:p>
      <w:pPr>
        <w:spacing w:before="0" w:beforeAutospacing="0" w:after="0"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鼓励市、区两级组建相应范围内的定标成员库，为难以或无法组建定标委员会的招标人，在定标环节提供支持帮助。</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（二）实行“综合评分法”</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1.选标环节</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具体操作方法与实行“评定分离”办法的相同。</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2.评标环节</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招标人依法组建评标委员会，评标委员会对入围正式投标人进行资格审查及符合性审查。</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评标委员会对审查合格的投标人进行评审，在评标完成后向招标人提出书面评标报告，推荐不超过3名的排序中标候选人。中标候选人的排序相同的，按招标文件约定的方式确定先后顺序。</w:t>
      </w:r>
    </w:p>
    <w:p>
      <w:pPr>
        <w:spacing w:before="0" w:beforeAutospacing="0" w:after="0" w:line="600" w:lineRule="exact"/>
        <w:ind w:firstLine="640" w:firstLineChars="200"/>
        <w:rPr>
          <w:rFonts w:hint="eastAsia" w:ascii="仿宋" w:hAnsi="仿宋" w:eastAsia="仿宋"/>
          <w:sz w:val="32"/>
          <w:szCs w:val="32"/>
        </w:rPr>
      </w:pPr>
      <w:r>
        <w:rPr>
          <w:rFonts w:hint="eastAsia" w:ascii="仿宋" w:hAnsi="仿宋" w:eastAsia="仿宋"/>
          <w:sz w:val="32"/>
          <w:szCs w:val="32"/>
        </w:rPr>
        <w:t>评标委员会所执行评审的择优标准，必须由招标人在招标文件中予以明示，其择优标准内容原则上在以下范围中选择确定：本行业主管部门或行业协会评定的荣誉，包括国家级荣誉奖项、省级荣誉奖项；企业应用新技术、新工艺，建造绿色建筑、节能建筑业绩；工程投标报价；企业过往承建工程规模及难易程度；企业履约评价；企业不良记录；诚信综合评价情况；企业对本招标项目技术熟知程度以及对项目施工作业环境因素的掌握程度等。</w:t>
      </w:r>
    </w:p>
    <w:p>
      <w:pPr>
        <w:spacing w:before="0" w:beforeAutospacing="0" w:after="0"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其中：投标报价分权重及计算方法如前。</w:t>
      </w:r>
    </w:p>
    <w:p>
      <w:pPr>
        <w:spacing w:before="0" w:beforeAutospacing="0" w:after="0" w:line="600" w:lineRule="exact"/>
        <w:ind w:firstLine="0" w:firstLineChars="0"/>
        <w:rPr>
          <w:rFonts w:ascii="仿宋" w:hAnsi="仿宋" w:eastAsia="仿宋"/>
          <w:sz w:val="32"/>
          <w:szCs w:val="32"/>
        </w:rPr>
      </w:pPr>
      <w:r>
        <w:rPr>
          <w:rFonts w:hint="eastAsia" w:ascii="仿宋" w:hAnsi="仿宋" w:eastAsia="仿宋"/>
          <w:sz w:val="32"/>
          <w:szCs w:val="32"/>
        </w:rPr>
        <w:t xml:space="preserve">    3.定标环节</w:t>
      </w:r>
    </w:p>
    <w:p>
      <w:pPr>
        <w:spacing w:before="0" w:beforeAutospacing="0" w:after="0" w:line="600" w:lineRule="exact"/>
        <w:ind w:firstLine="0" w:firstLineChars="0"/>
        <w:rPr>
          <w:rFonts w:ascii="仿宋" w:hAnsi="仿宋" w:eastAsia="仿宋" w:cs="宋体"/>
          <w:color w:val="333333"/>
          <w:kern w:val="0"/>
          <w:sz w:val="32"/>
          <w:szCs w:val="32"/>
        </w:rPr>
      </w:pPr>
      <w:r>
        <w:rPr>
          <w:rFonts w:hint="eastAsia" w:ascii="仿宋" w:hAnsi="仿宋" w:eastAsia="仿宋"/>
          <w:sz w:val="32"/>
          <w:szCs w:val="32"/>
        </w:rPr>
        <w:t xml:space="preserve">    由招标人按照评标委员会推荐的中标候选人排序，在公示期满后，且异议已经处理完成后按排序确定中标人。</w:t>
      </w:r>
    </w:p>
    <w:p>
      <w:pPr>
        <w:spacing w:before="0" w:beforeAutospacing="0" w:after="0" w:line="60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十四、加强</w:t>
      </w:r>
      <w:r>
        <w:rPr>
          <w:rFonts w:hint="eastAsia" w:ascii="黑体" w:hAnsi="黑体" w:eastAsia="黑体" w:cs="黑体"/>
          <w:b/>
          <w:kern w:val="0"/>
          <w:sz w:val="32"/>
          <w:szCs w:val="32"/>
          <w:lang w:val="en-US" w:eastAsia="zh-CN"/>
        </w:rPr>
        <w:t>工程总承包</w:t>
      </w:r>
      <w:r>
        <w:rPr>
          <w:rFonts w:hint="eastAsia" w:ascii="黑体" w:hAnsi="黑体" w:eastAsia="黑体" w:cs="黑体"/>
          <w:b/>
          <w:kern w:val="0"/>
          <w:sz w:val="32"/>
          <w:szCs w:val="32"/>
        </w:rPr>
        <w:t>模式管理</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lang w:val="en-US" w:eastAsia="zh-CN"/>
        </w:rPr>
        <w:t>工程总承包</w:t>
      </w:r>
      <w:r>
        <w:rPr>
          <w:rFonts w:hint="eastAsia" w:ascii="仿宋" w:hAnsi="仿宋" w:eastAsia="仿宋"/>
          <w:sz w:val="32"/>
          <w:szCs w:val="32"/>
        </w:rPr>
        <w:t>模式招标基本条件</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建设工程项目的可行性研究、初步设计已完成，招标方式已经发改部门核准，且工程概算已经批准。概算批准前，建设单位可通过采购招标方式确定岩土工程勘察、可行性研究、初步设计编制单位。</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（二）</w:t>
      </w:r>
      <w:r>
        <w:rPr>
          <w:rFonts w:hint="eastAsia" w:ascii="仿宋" w:hAnsi="仿宋" w:eastAsia="仿宋"/>
          <w:sz w:val="32"/>
          <w:szCs w:val="32"/>
          <w:lang w:val="en-US" w:eastAsia="zh-CN"/>
        </w:rPr>
        <w:t>工程总承包</w:t>
      </w:r>
      <w:r>
        <w:rPr>
          <w:rFonts w:hint="eastAsia" w:ascii="仿宋" w:hAnsi="仿宋" w:eastAsia="仿宋"/>
          <w:sz w:val="32"/>
          <w:szCs w:val="32"/>
        </w:rPr>
        <w:t>模式的招标项目，选标、评标、定标等，按本通知第十三条执行。</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（三）加强</w:t>
      </w:r>
      <w:r>
        <w:rPr>
          <w:rFonts w:hint="eastAsia" w:ascii="仿宋" w:hAnsi="仿宋" w:eastAsia="仿宋"/>
          <w:sz w:val="32"/>
          <w:szCs w:val="32"/>
          <w:lang w:val="en-US" w:eastAsia="zh-CN"/>
        </w:rPr>
        <w:t>工程总承包</w:t>
      </w:r>
      <w:r>
        <w:rPr>
          <w:rFonts w:hint="eastAsia" w:ascii="仿宋" w:hAnsi="仿宋" w:eastAsia="仿宋"/>
          <w:sz w:val="32"/>
          <w:szCs w:val="32"/>
        </w:rPr>
        <w:t>企业的管理</w:t>
      </w:r>
    </w:p>
    <w:p>
      <w:pPr>
        <w:spacing w:before="0" w:beforeAutospacing="0" w:after="0" w:line="600" w:lineRule="exact"/>
        <w:ind w:firstLine="160"/>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lang w:val="en-US" w:eastAsia="zh-CN"/>
        </w:rPr>
        <w:t>工程总承包</w:t>
      </w:r>
      <w:r>
        <w:rPr>
          <w:rFonts w:hint="eastAsia" w:ascii="仿宋" w:hAnsi="仿宋" w:eastAsia="仿宋"/>
          <w:sz w:val="32"/>
          <w:szCs w:val="32"/>
        </w:rPr>
        <w:t>企业的基本条件。</w:t>
      </w:r>
      <w:r>
        <w:rPr>
          <w:rFonts w:hint="eastAsia" w:ascii="仿宋" w:hAnsi="仿宋" w:eastAsia="仿宋"/>
          <w:sz w:val="32"/>
          <w:szCs w:val="32"/>
          <w:lang w:val="en-US" w:eastAsia="zh-CN"/>
        </w:rPr>
        <w:t>工程总承包</w:t>
      </w:r>
      <w:r>
        <w:rPr>
          <w:rFonts w:hint="eastAsia" w:ascii="仿宋" w:hAnsi="仿宋" w:eastAsia="仿宋"/>
          <w:sz w:val="32"/>
          <w:szCs w:val="32"/>
        </w:rPr>
        <w:t>企业应当同时具有与工程规模相适应的工程设计资质和施工资质（允许联合体，但企业个数不得多于</w:t>
      </w:r>
      <w:r>
        <w:rPr>
          <w:rFonts w:ascii="仿宋" w:hAnsi="仿宋" w:eastAsia="仿宋"/>
          <w:sz w:val="32"/>
          <w:szCs w:val="32"/>
        </w:rPr>
        <w:t>2</w:t>
      </w:r>
      <w:r>
        <w:rPr>
          <w:rFonts w:hint="eastAsia" w:ascii="仿宋" w:hAnsi="仿宋" w:eastAsia="仿宋"/>
          <w:sz w:val="32"/>
          <w:szCs w:val="32"/>
        </w:rPr>
        <w:t>个），相应的财务、风险承担能力，同时具有相应的组织机构、项目管理体系、项目管理专业人员和工程业绩。</w:t>
      </w:r>
    </w:p>
    <w:p>
      <w:pPr>
        <w:spacing w:before="0" w:beforeAutospacing="0" w:after="0" w:line="600" w:lineRule="exact"/>
        <w:ind w:firstLine="160"/>
        <w:rPr>
          <w:rFonts w:hint="eastAsia" w:ascii="仿宋" w:hAnsi="仿宋" w:eastAsia="仿宋"/>
          <w:sz w:val="32"/>
          <w:szCs w:val="32"/>
          <w:lang w:val="en-US" w:eastAsia="zh-CN"/>
        </w:rPr>
      </w:pPr>
      <w:r>
        <w:rPr>
          <w:rFonts w:hint="eastAsia" w:ascii="仿宋" w:hAnsi="仿宋" w:eastAsia="仿宋"/>
          <w:sz w:val="32"/>
          <w:szCs w:val="32"/>
        </w:rPr>
        <w:t xml:space="preserve">   </w:t>
      </w:r>
      <w:r>
        <w:rPr>
          <w:rFonts w:ascii="仿宋" w:hAnsi="仿宋" w:eastAsia="仿宋"/>
          <w:sz w:val="32"/>
          <w:szCs w:val="32"/>
        </w:rPr>
        <w:t>2.</w:t>
      </w:r>
      <w:r>
        <w:rPr>
          <w:rFonts w:hint="eastAsia" w:ascii="仿宋" w:hAnsi="仿宋" w:eastAsia="仿宋"/>
          <w:sz w:val="32"/>
          <w:szCs w:val="32"/>
          <w:lang w:val="en-US" w:eastAsia="zh-CN"/>
        </w:rPr>
        <w:t>招标人应当根据工程总承包项目的特点和复杂程度，确定具有相应资质的施工企业或设计企业作为牵头人，其项目负责人按工程总承包项目经理有关规定执行。若以设计企业作为牵头人的工程项目，不进行选标，直接进入评标、定标环节。</w:t>
      </w:r>
    </w:p>
    <w:p>
      <w:pPr>
        <w:spacing w:before="0" w:beforeAutospacing="0" w:after="0" w:line="600" w:lineRule="exact"/>
        <w:ind w:firstLine="160"/>
        <w:rPr>
          <w:rFonts w:hint="eastAsia" w:ascii="仿宋" w:hAnsi="仿宋" w:eastAsia="仿宋" w:cs="仿宋"/>
          <w:b w:val="0"/>
          <w:bCs/>
          <w:kern w:val="0"/>
          <w:sz w:val="32"/>
          <w:szCs w:val="32"/>
          <w:u w:val="none"/>
          <w:lang w:val="en-US" w:eastAsia="zh-CN"/>
        </w:rPr>
      </w:pPr>
      <w:r>
        <w:rPr>
          <w:rFonts w:hint="eastAsia" w:ascii="仿宋" w:hAnsi="仿宋" w:eastAsia="仿宋"/>
          <w:b/>
          <w:bCs/>
          <w:sz w:val="32"/>
          <w:szCs w:val="32"/>
          <w:lang w:val="en-US" w:eastAsia="zh-CN"/>
        </w:rPr>
        <w:t xml:space="preserve">   </w:t>
      </w:r>
      <w:r>
        <w:rPr>
          <w:rFonts w:hint="eastAsia" w:ascii="黑体" w:hAnsi="黑体" w:eastAsia="黑体" w:cs="黑体"/>
          <w:b/>
          <w:kern w:val="0"/>
          <w:sz w:val="32"/>
          <w:szCs w:val="32"/>
          <w:lang w:val="en-US" w:eastAsia="zh-CN"/>
        </w:rPr>
        <w:t xml:space="preserve"> </w:t>
      </w:r>
      <w:r>
        <w:rPr>
          <w:rFonts w:hint="eastAsia" w:ascii="黑体" w:hAnsi="黑体" w:eastAsia="黑体" w:cs="黑体"/>
          <w:b/>
          <w:kern w:val="0"/>
          <w:sz w:val="32"/>
          <w:szCs w:val="32"/>
          <w:u w:val="none"/>
          <w:lang w:val="en-US" w:eastAsia="zh-CN"/>
        </w:rPr>
        <w:t>十五、鼓励建立小型简易工程承包商预选库</w:t>
      </w:r>
    </w:p>
    <w:p>
      <w:pPr>
        <w:spacing w:before="0" w:beforeAutospacing="0" w:after="0" w:line="600" w:lineRule="exact"/>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对结构简单、施工难度小，且施工单项合同估算价在400万元以上1500万元人民币以下的小型简易工程，鼓励招标人采用预选招标的方式，建立小型简易工程承包商预选库。小型简易工程的招标人从预选库中公开选择承包商承包工程施工项目。</w:t>
      </w:r>
    </w:p>
    <w:p>
      <w:pPr>
        <w:spacing w:before="0" w:beforeAutospacing="0" w:after="0" w:line="600" w:lineRule="exact"/>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预选招标指通过公开招标的方式，根据投标人的资质条件、工程业绩、企业信用等情况，择优选定一定数量的承包商，建立小型建设工程承包商预选库。预选库仅限建筑工程施工总承包或市政公用工程施工总承包二级及三级资质施工企业参与。小型简易工程的招标人根据工程建设最低资质要求的原则，从预选库中公开选择承包商承包工程施工项目。</w:t>
      </w:r>
    </w:p>
    <w:p>
      <w:pPr>
        <w:spacing w:before="0" w:beforeAutospacing="0" w:after="0" w:line="600" w:lineRule="exact"/>
        <w:ind w:firstLine="480" w:firstLineChars="150"/>
        <w:rPr>
          <w:rFonts w:hint="eastAsia" w:ascii="仿宋" w:hAnsi="仿宋" w:eastAsia="仿宋"/>
          <w:sz w:val="32"/>
          <w:szCs w:val="32"/>
          <w:lang w:val="en-US" w:eastAsia="zh-CN"/>
        </w:rPr>
      </w:pPr>
      <w:r>
        <w:rPr>
          <w:rFonts w:hint="eastAsia" w:ascii="仿宋" w:hAnsi="仿宋" w:eastAsia="仿宋"/>
          <w:sz w:val="32"/>
          <w:szCs w:val="32"/>
          <w:lang w:val="en-US" w:eastAsia="zh-CN"/>
        </w:rPr>
        <w:t>各区县人民政府及管委会可根据区域内建设工程实际，负责制定小型简易工程预选招标管理的规定。</w:t>
      </w:r>
    </w:p>
    <w:p>
      <w:pPr>
        <w:spacing w:before="0" w:beforeAutospacing="0" w:after="0" w:line="600" w:lineRule="exact"/>
        <w:ind w:firstLine="803" w:firstLineChars="250"/>
        <w:rPr>
          <w:rFonts w:ascii="黑体" w:hAnsi="黑体" w:eastAsia="黑体" w:cs="黑体"/>
          <w:b/>
          <w:kern w:val="0"/>
          <w:sz w:val="32"/>
          <w:szCs w:val="32"/>
        </w:rPr>
      </w:pPr>
      <w:r>
        <w:rPr>
          <w:rFonts w:hint="eastAsia" w:ascii="黑体" w:hAnsi="黑体" w:eastAsia="黑体" w:cs="黑体"/>
          <w:b/>
          <w:kern w:val="0"/>
          <w:sz w:val="32"/>
          <w:szCs w:val="32"/>
        </w:rPr>
        <w:t>十</w:t>
      </w:r>
      <w:r>
        <w:rPr>
          <w:rFonts w:hint="eastAsia" w:ascii="黑体" w:hAnsi="黑体" w:eastAsia="黑体" w:cs="黑体"/>
          <w:b/>
          <w:kern w:val="0"/>
          <w:sz w:val="32"/>
          <w:szCs w:val="32"/>
          <w:lang w:eastAsia="zh-CN"/>
        </w:rPr>
        <w:t>六</w:t>
      </w:r>
      <w:r>
        <w:rPr>
          <w:rFonts w:hint="eastAsia" w:ascii="黑体" w:hAnsi="黑体" w:eastAsia="黑体" w:cs="黑体"/>
          <w:b/>
          <w:kern w:val="0"/>
          <w:sz w:val="32"/>
          <w:szCs w:val="32"/>
        </w:rPr>
        <w:t>、强化主体责任追究</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（一）招标人作为招标投标活动的组织者及结果使用者，是招标投标活动的第一责任主体，应依法全面履行招标投标活动主体责任，对招标投标过程及结果负总责。</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w:t>
      </w:r>
      <w:r>
        <w:rPr>
          <w:rFonts w:hint="eastAsia" w:ascii="仿宋" w:hAnsi="仿宋" w:eastAsia="仿宋" w:cs="仿宋_GB2312"/>
          <w:sz w:val="32"/>
          <w:szCs w:val="32"/>
        </w:rPr>
        <w:t xml:space="preserve"> </w:t>
      </w:r>
      <w:r>
        <w:rPr>
          <w:rFonts w:hint="eastAsia" w:ascii="仿宋" w:hAnsi="仿宋" w:eastAsia="仿宋"/>
          <w:sz w:val="32"/>
          <w:szCs w:val="32"/>
        </w:rPr>
        <w:t>招标人</w:t>
      </w:r>
      <w:r>
        <w:rPr>
          <w:rFonts w:ascii="仿宋" w:hAnsi="仿宋" w:eastAsia="仿宋"/>
          <w:sz w:val="32"/>
          <w:szCs w:val="32"/>
        </w:rPr>
        <w:t>要严格执行招标有关</w:t>
      </w:r>
      <w:r>
        <w:rPr>
          <w:rFonts w:hint="eastAsia" w:ascii="仿宋" w:hAnsi="仿宋" w:eastAsia="仿宋"/>
          <w:sz w:val="32"/>
          <w:szCs w:val="32"/>
        </w:rPr>
        <w:t>政策</w:t>
      </w:r>
      <w:r>
        <w:rPr>
          <w:rFonts w:ascii="仿宋" w:hAnsi="仿宋" w:eastAsia="仿宋"/>
          <w:sz w:val="32"/>
          <w:szCs w:val="32"/>
        </w:rPr>
        <w:t>法规，进一步加强内部管理，按照岗位制衡、职责分工、集体决策、公开透明的要求，建立健全招标内部</w:t>
      </w:r>
      <w:r>
        <w:rPr>
          <w:rFonts w:hint="eastAsia" w:ascii="仿宋" w:hAnsi="仿宋" w:eastAsia="仿宋"/>
          <w:sz w:val="32"/>
          <w:szCs w:val="32"/>
        </w:rPr>
        <w:t>运行和</w:t>
      </w:r>
      <w:r>
        <w:rPr>
          <w:rFonts w:ascii="仿宋" w:hAnsi="仿宋" w:eastAsia="仿宋"/>
          <w:sz w:val="32"/>
          <w:szCs w:val="32"/>
        </w:rPr>
        <w:t>监管制度，</w:t>
      </w:r>
      <w:r>
        <w:rPr>
          <w:rFonts w:hint="eastAsia" w:ascii="仿宋" w:hAnsi="仿宋" w:eastAsia="仿宋"/>
          <w:sz w:val="32"/>
          <w:szCs w:val="32"/>
        </w:rPr>
        <w:t>严格执行</w:t>
      </w:r>
      <w:r>
        <w:rPr>
          <w:rFonts w:ascii="仿宋" w:hAnsi="仿宋" w:eastAsia="仿宋"/>
          <w:sz w:val="32"/>
          <w:szCs w:val="32"/>
        </w:rPr>
        <w:t>重大决策程序规定</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2.招标人应成立定标监督小组。监督小组按照事先制定的规则对定标委员的行为进行监督，确保定标委员公平、公正用权。定标过程及定标结果应作为招标结果的内容，按规定报行政监督部门备案。</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3.招标人应保留所有必要的招标投标活动相关资料，以便追溯查询。</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4.招标人未按照本《意见》要求严格履责的，有关机关应责令改正，并依法追究相关人员责任。</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（二）</w:t>
      </w:r>
      <w:r>
        <w:rPr>
          <w:rFonts w:ascii="仿宋" w:hAnsi="仿宋" w:eastAsia="仿宋"/>
          <w:sz w:val="32"/>
          <w:szCs w:val="32"/>
        </w:rPr>
        <w:t>中标人</w:t>
      </w:r>
      <w:r>
        <w:rPr>
          <w:rFonts w:hint="eastAsia" w:ascii="仿宋" w:hAnsi="仿宋" w:eastAsia="仿宋"/>
          <w:sz w:val="32"/>
          <w:szCs w:val="32"/>
        </w:rPr>
        <w:t>应</w:t>
      </w:r>
      <w:r>
        <w:rPr>
          <w:rFonts w:ascii="仿宋" w:hAnsi="仿宋" w:eastAsia="仿宋"/>
          <w:sz w:val="32"/>
          <w:szCs w:val="32"/>
        </w:rPr>
        <w:t>按照招标文件</w:t>
      </w:r>
      <w:r>
        <w:rPr>
          <w:rFonts w:hint="eastAsia" w:ascii="仿宋" w:hAnsi="仿宋" w:eastAsia="仿宋"/>
          <w:sz w:val="32"/>
          <w:szCs w:val="32"/>
        </w:rPr>
        <w:t>的约定</w:t>
      </w:r>
      <w:r>
        <w:rPr>
          <w:rFonts w:ascii="仿宋" w:hAnsi="仿宋" w:eastAsia="仿宋"/>
          <w:sz w:val="32"/>
          <w:szCs w:val="32"/>
        </w:rPr>
        <w:t>和投标文件</w:t>
      </w:r>
      <w:r>
        <w:rPr>
          <w:rFonts w:hint="eastAsia" w:ascii="仿宋" w:hAnsi="仿宋" w:eastAsia="仿宋"/>
          <w:sz w:val="32"/>
          <w:szCs w:val="32"/>
        </w:rPr>
        <w:t>的承诺，</w:t>
      </w:r>
      <w:r>
        <w:rPr>
          <w:rFonts w:ascii="仿宋" w:hAnsi="仿宋" w:eastAsia="仿宋"/>
          <w:sz w:val="32"/>
          <w:szCs w:val="32"/>
        </w:rPr>
        <w:t>与招标人订立合同</w:t>
      </w:r>
      <w:r>
        <w:rPr>
          <w:rFonts w:hint="eastAsia" w:ascii="仿宋" w:hAnsi="仿宋" w:eastAsia="仿宋"/>
          <w:sz w:val="32"/>
          <w:szCs w:val="32"/>
        </w:rPr>
        <w:t>，加快中标项目推进，按期完成任务。</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中标人发生下列行为之一时，招标人应当依法及时终止合同，并就中标人因违法违约行为造成的损失进行全面评估，通过直接索赔或诉讼等方式，坚决追究中标人经济赔偿责任。中标人有转包、违法分包行为的，招标人应当保留依法追究违规中标人经济赔偿之外的其它民事责任；构成犯罪的，依法追究相应的刑事责任。上述有关处理结果应以书面形式报行政监督部门。行政监督部门经核实后，对照情形，可依法对中标人予以责令停业整顿、按程序吊销资质证书、降低资质等级、宣布中标无效、处以罚款等，或禁止中标人及其相应的建造师在一定期限内，参加我市行政区域内工程项目招投标活动，同时列入汕头市建筑市场“黑名单”管理。</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w:t>
      </w:r>
      <w:r>
        <w:rPr>
          <w:rFonts w:ascii="仿宋" w:hAnsi="仿宋" w:eastAsia="仿宋"/>
          <w:sz w:val="32"/>
          <w:szCs w:val="32"/>
        </w:rPr>
        <w:t>利用围标、串标</w:t>
      </w:r>
      <w:r>
        <w:rPr>
          <w:rFonts w:hint="eastAsia" w:ascii="仿宋" w:hAnsi="仿宋" w:eastAsia="仿宋"/>
          <w:sz w:val="32"/>
          <w:szCs w:val="32"/>
        </w:rPr>
        <w:t>等不正当方式</w:t>
      </w:r>
      <w:r>
        <w:rPr>
          <w:rFonts w:ascii="仿宋" w:hAnsi="仿宋" w:eastAsia="仿宋"/>
          <w:sz w:val="32"/>
          <w:szCs w:val="32"/>
        </w:rPr>
        <w:t>谋取中标</w:t>
      </w:r>
      <w:r>
        <w:rPr>
          <w:rFonts w:hint="eastAsia" w:ascii="仿宋" w:hAnsi="仿宋" w:eastAsia="仿宋"/>
          <w:sz w:val="32"/>
          <w:szCs w:val="32"/>
        </w:rPr>
        <w:t>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w:t>
      </w:r>
      <w:r>
        <w:rPr>
          <w:rFonts w:ascii="仿宋" w:hAnsi="仿宋" w:eastAsia="仿宋"/>
          <w:sz w:val="32"/>
          <w:szCs w:val="32"/>
        </w:rPr>
        <w:t>投标人之间协商投标报价等投标文件的实质性内容；</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投标人之间约定中标人</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（3）</w:t>
      </w:r>
      <w:r>
        <w:rPr>
          <w:rFonts w:ascii="仿宋" w:hAnsi="仿宋" w:eastAsia="仿宋"/>
          <w:sz w:val="32"/>
          <w:szCs w:val="32"/>
        </w:rPr>
        <w:t>投标人之间约定部分投标人放弃投标或者中标</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（4）</w:t>
      </w:r>
      <w:r>
        <w:rPr>
          <w:rFonts w:ascii="仿宋" w:hAnsi="仿宋" w:eastAsia="仿宋"/>
          <w:sz w:val="32"/>
          <w:szCs w:val="32"/>
        </w:rPr>
        <w:t>属于同一集团、协会、商会等组织成员的投标人按照该组织要求协同投标</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（5）</w:t>
      </w:r>
      <w:r>
        <w:rPr>
          <w:rFonts w:ascii="仿宋" w:hAnsi="仿宋" w:eastAsia="仿宋"/>
          <w:sz w:val="32"/>
          <w:szCs w:val="32"/>
        </w:rPr>
        <w:t>投标人之间为谋取中标或者排斥特定投标人而采取的其他联合行动</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（6）</w:t>
      </w:r>
      <w:r>
        <w:rPr>
          <w:rFonts w:ascii="仿宋" w:hAnsi="仿宋" w:eastAsia="仿宋"/>
          <w:sz w:val="32"/>
          <w:szCs w:val="32"/>
        </w:rPr>
        <w:t>不同投标人的投标文件由同一单位或者个人编制</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（7）</w:t>
      </w:r>
      <w:r>
        <w:rPr>
          <w:rFonts w:ascii="仿宋" w:hAnsi="仿宋" w:eastAsia="仿宋"/>
          <w:sz w:val="32"/>
          <w:szCs w:val="32"/>
        </w:rPr>
        <w:t>不同投标人委托同一单位或者个人办理投标事宜</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（8）</w:t>
      </w:r>
      <w:r>
        <w:rPr>
          <w:rFonts w:ascii="仿宋" w:hAnsi="仿宋" w:eastAsia="仿宋"/>
          <w:sz w:val="32"/>
          <w:szCs w:val="32"/>
        </w:rPr>
        <w:t>不同投标人的投标文件载明的项目管理成员为同一人</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（9）</w:t>
      </w:r>
      <w:r>
        <w:rPr>
          <w:rFonts w:ascii="仿宋" w:hAnsi="仿宋" w:eastAsia="仿宋"/>
          <w:sz w:val="32"/>
          <w:szCs w:val="32"/>
        </w:rPr>
        <w:t>不同投标人的投标文件异常一致或者投标报价呈规律性差异</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（10）</w:t>
      </w:r>
      <w:r>
        <w:rPr>
          <w:rFonts w:ascii="仿宋" w:hAnsi="仿宋" w:eastAsia="仿宋"/>
          <w:sz w:val="32"/>
          <w:szCs w:val="32"/>
        </w:rPr>
        <w:t>不同投标人的投标文件相互混装</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（11）</w:t>
      </w:r>
      <w:r>
        <w:rPr>
          <w:rFonts w:ascii="仿宋" w:hAnsi="仿宋" w:eastAsia="仿宋"/>
          <w:sz w:val="32"/>
          <w:szCs w:val="32"/>
        </w:rPr>
        <w:t>不同投标人的投标保证金从同一单位或者个人的账户转出。</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2.中标人进行违法分包、转包及挂靠的：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（1）中标人违反法律法规或者施工合同关于分包的约定，把单位工程或分部分项工程分包给其他单位或个人的；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（2）施工单位将建设工程分包给不具备相应资质条件单位的；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（3）工程承包合同未有约定又未经建设单位认可，施工单位将其承包的部分建设工程交由其他单位完成的；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（4）施工单位将建设工程主体结构的施工分包给其他单位的；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（5）分包单位将其承包的建设工程再分包的；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（6）没有资质的单位或个人借用其他施工单位的资质承揽工程的；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（7）有资质的施工单位相互借用资质承揽工程的，包括资质等级低的借用资质等级高的，资质等级高的借用资质等级低的，相同资质等级相互借用的；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（8）法律法规规定的其它情形。</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3.</w:t>
      </w:r>
      <w:r>
        <w:rPr>
          <w:rFonts w:ascii="仿宋" w:hAnsi="仿宋" w:eastAsia="仿宋"/>
          <w:sz w:val="32"/>
          <w:szCs w:val="32"/>
        </w:rPr>
        <w:t>使用通过受让或者租借等方式获取的资格、资质证书投标的</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4.在参与工程投标过程弄虚作假的；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5.中标项目拒不履行投标承诺及合约职责与义务的。</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（三）</w:t>
      </w:r>
      <w:r>
        <w:rPr>
          <w:rFonts w:ascii="仿宋" w:hAnsi="仿宋" w:eastAsia="仿宋"/>
          <w:sz w:val="32"/>
          <w:szCs w:val="32"/>
        </w:rPr>
        <w:t>招标代理机构应当拥有一定数量的具备编制招标文件、组织评标等相应能力的专业人员</w:t>
      </w:r>
      <w:r>
        <w:rPr>
          <w:rFonts w:hint="eastAsia" w:ascii="仿宋" w:hAnsi="仿宋" w:eastAsia="仿宋"/>
          <w:sz w:val="32"/>
          <w:szCs w:val="32"/>
        </w:rPr>
        <w:t>，</w:t>
      </w:r>
      <w:r>
        <w:rPr>
          <w:rFonts w:ascii="仿宋" w:hAnsi="仿宋" w:eastAsia="仿宋"/>
          <w:sz w:val="32"/>
          <w:szCs w:val="32"/>
        </w:rPr>
        <w:t>能够适应所代理工程项目要求</w:t>
      </w:r>
      <w:r>
        <w:rPr>
          <w:rFonts w:hint="eastAsia" w:ascii="仿宋" w:hAnsi="仿宋" w:eastAsia="仿宋"/>
          <w:sz w:val="32"/>
          <w:szCs w:val="32"/>
        </w:rPr>
        <w:t>，</w:t>
      </w:r>
      <w:r>
        <w:rPr>
          <w:rFonts w:ascii="仿宋" w:hAnsi="仿宋" w:eastAsia="仿宋"/>
          <w:sz w:val="32"/>
          <w:szCs w:val="32"/>
        </w:rPr>
        <w:t>熟悉所代理工程项目有关专业标准、规范、规定和业务要求</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招标代理机构有下列行为之一的，经行政监督部门核实后，列入汕头市建筑市场“黑名单”管理。国有资金投资工程的建设单位在2年内不予委托其承接招标代理业务。                                                                                            </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1.</w:t>
      </w:r>
      <w:r>
        <w:rPr>
          <w:rFonts w:ascii="仿宋" w:hAnsi="仿宋" w:eastAsia="仿宋"/>
          <w:sz w:val="32"/>
          <w:szCs w:val="32"/>
        </w:rPr>
        <w:t>在工程招标代理活动中泄露应当保密的与招标投标活动有关的情况和资料</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从事同一项目的招标代理和投标咨询；在同一项目为两个及两个以上投标人提供投标咨询</w:t>
      </w:r>
      <w:r>
        <w:rPr>
          <w:rFonts w:hint="eastAsia" w:ascii="仿宋" w:hAnsi="仿宋" w:eastAsia="仿宋"/>
          <w:sz w:val="32"/>
          <w:szCs w:val="32"/>
        </w:rPr>
        <w:t>；</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3.</w:t>
      </w:r>
      <w:r>
        <w:rPr>
          <w:rFonts w:ascii="仿宋" w:hAnsi="仿宋" w:eastAsia="仿宋"/>
          <w:sz w:val="32"/>
          <w:szCs w:val="32"/>
        </w:rPr>
        <w:t xml:space="preserve">以不合理的条件限制或者排斥潜在投标人，对潜在投标人实行歧视待遇； </w:t>
      </w:r>
    </w:p>
    <w:p>
      <w:pPr>
        <w:spacing w:before="0" w:beforeAutospacing="0" w:after="0" w:line="600" w:lineRule="exact"/>
        <w:ind w:firstLine="160"/>
        <w:rPr>
          <w:rFonts w:ascii="仿宋" w:hAnsi="仿宋" w:eastAsia="仿宋"/>
          <w:sz w:val="32"/>
          <w:szCs w:val="32"/>
        </w:rPr>
      </w:pPr>
      <w:r>
        <w:rPr>
          <w:rFonts w:hint="eastAsia" w:ascii="仿宋" w:hAnsi="仿宋" w:eastAsia="仿宋"/>
          <w:sz w:val="32"/>
          <w:szCs w:val="32"/>
        </w:rPr>
        <w:t xml:space="preserve">   4.</w:t>
      </w:r>
      <w:r>
        <w:rPr>
          <w:rFonts w:ascii="仿宋" w:hAnsi="仿宋" w:eastAsia="仿宋"/>
          <w:sz w:val="32"/>
          <w:szCs w:val="32"/>
        </w:rPr>
        <w:t>与招标人或投标人之间相互串通招标、投标，搞虚假招标</w:t>
      </w:r>
      <w:r>
        <w:rPr>
          <w:rFonts w:hint="eastAsia" w:ascii="仿宋" w:hAnsi="仿宋" w:eastAsia="仿宋"/>
          <w:sz w:val="32"/>
          <w:szCs w:val="32"/>
        </w:rPr>
        <w:t>；</w:t>
      </w:r>
    </w:p>
    <w:p>
      <w:pPr>
        <w:spacing w:before="0" w:beforeAutospacing="0" w:after="0" w:line="600" w:lineRule="exact"/>
        <w:ind w:firstLine="160"/>
        <w:rPr>
          <w:rFonts w:ascii="仿宋" w:hAnsi="仿宋" w:eastAsia="仿宋" w:cs="宋体"/>
          <w:color w:val="000000"/>
          <w:kern w:val="0"/>
          <w:sz w:val="32"/>
          <w:szCs w:val="32"/>
        </w:rPr>
      </w:pPr>
      <w:r>
        <w:rPr>
          <w:rFonts w:hint="eastAsia" w:ascii="仿宋" w:hAnsi="仿宋" w:eastAsia="仿宋"/>
          <w:sz w:val="32"/>
          <w:szCs w:val="32"/>
        </w:rPr>
        <w:t xml:space="preserve">   5.因编制招标文件造成招投标活动无法正常进行，或</w:t>
      </w:r>
      <w:r>
        <w:rPr>
          <w:rFonts w:ascii="仿宋" w:hAnsi="仿宋" w:eastAsia="仿宋"/>
          <w:sz w:val="32"/>
          <w:szCs w:val="32"/>
        </w:rPr>
        <w:t>在招标活动中显失公正或因失误、失职，造成恶劣影响</w:t>
      </w:r>
      <w:r>
        <w:rPr>
          <w:rFonts w:hint="eastAsia" w:ascii="仿宋" w:hAnsi="仿宋" w:eastAsia="仿宋"/>
          <w:sz w:val="32"/>
          <w:szCs w:val="32"/>
        </w:rPr>
        <w:t>。</w:t>
      </w:r>
    </w:p>
    <w:p>
      <w:pPr>
        <w:spacing w:before="0" w:beforeAutospacing="0" w:after="0" w:line="600" w:lineRule="exact"/>
        <w:ind w:firstLine="160"/>
        <w:rPr>
          <w:rFonts w:ascii="黑体" w:hAnsi="黑体" w:eastAsia="黑体" w:cs="黑体"/>
          <w:bCs/>
          <w:color w:val="333333"/>
          <w:kern w:val="0"/>
          <w:sz w:val="32"/>
          <w:szCs w:val="32"/>
        </w:rPr>
      </w:pPr>
      <w:r>
        <w:rPr>
          <w:rFonts w:hint="eastAsia" w:ascii="黑体" w:hAnsi="黑体" w:eastAsia="黑体" w:cs="黑体"/>
          <w:bCs/>
          <w:kern w:val="0"/>
          <w:sz w:val="32"/>
          <w:szCs w:val="32"/>
        </w:rPr>
        <w:t xml:space="preserve">  十</w:t>
      </w:r>
      <w:r>
        <w:rPr>
          <w:rFonts w:hint="eastAsia" w:ascii="黑体" w:hAnsi="黑体" w:eastAsia="黑体" w:cs="黑体"/>
          <w:bCs/>
          <w:kern w:val="0"/>
          <w:sz w:val="32"/>
          <w:szCs w:val="32"/>
          <w:lang w:eastAsia="zh-CN"/>
        </w:rPr>
        <w:t>七</w:t>
      </w:r>
      <w:r>
        <w:rPr>
          <w:rFonts w:hint="eastAsia" w:ascii="黑体" w:hAnsi="黑体" w:eastAsia="黑体" w:cs="黑体"/>
          <w:bCs/>
          <w:kern w:val="0"/>
          <w:sz w:val="32"/>
          <w:szCs w:val="32"/>
        </w:rPr>
        <w:t>、建设工程项目的重要设备、材料，可由项目建设单位根据项目实际情况，按照节约成本、效率优先、质量保证为原则，选择采用甲供材料方式进行政府采购。</w:t>
      </w:r>
    </w:p>
    <w:p>
      <w:pPr>
        <w:shd w:val="clear" w:color="000000" w:fill="FFFFFF"/>
        <w:spacing w:before="0" w:beforeAutospacing="0" w:after="0"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十</w:t>
      </w:r>
      <w:r>
        <w:rPr>
          <w:rFonts w:hint="eastAsia" w:ascii="黑体" w:hAnsi="黑体" w:eastAsia="黑体" w:cs="黑体"/>
          <w:bCs/>
          <w:kern w:val="0"/>
          <w:sz w:val="32"/>
          <w:szCs w:val="32"/>
          <w:lang w:eastAsia="zh-CN"/>
        </w:rPr>
        <w:t>八</w:t>
      </w:r>
      <w:r>
        <w:rPr>
          <w:rFonts w:hint="eastAsia" w:ascii="黑体" w:hAnsi="黑体" w:eastAsia="黑体" w:cs="黑体"/>
          <w:bCs/>
          <w:kern w:val="0"/>
          <w:sz w:val="32"/>
          <w:szCs w:val="32"/>
        </w:rPr>
        <w:t>、凡经发改部门核准为应招标的建设工程项目，应当按照汕头经济特区市级公共资源集中交易监督管理相关规定，在公共资源交易场所进行招标投标。</w:t>
      </w:r>
    </w:p>
    <w:p>
      <w:pPr>
        <w:shd w:val="clear" w:color="000000" w:fill="FFFFFF"/>
        <w:spacing w:before="0" w:beforeAutospacing="0" w:after="0"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十</w:t>
      </w:r>
      <w:r>
        <w:rPr>
          <w:rFonts w:hint="eastAsia" w:ascii="黑体" w:hAnsi="黑体" w:eastAsia="黑体" w:cs="黑体"/>
          <w:bCs/>
          <w:kern w:val="0"/>
          <w:sz w:val="32"/>
          <w:szCs w:val="32"/>
          <w:lang w:eastAsia="zh-CN"/>
        </w:rPr>
        <w:t>九</w:t>
      </w:r>
      <w:r>
        <w:rPr>
          <w:rFonts w:hint="eastAsia" w:ascii="黑体" w:hAnsi="黑体" w:eastAsia="黑体" w:cs="黑体"/>
          <w:bCs/>
          <w:kern w:val="0"/>
          <w:sz w:val="32"/>
          <w:szCs w:val="32"/>
        </w:rPr>
        <w:t>、本意见所称的建设工程，是指新建、改建、扩建、重建的房屋建筑和市政公用工程。</w:t>
      </w:r>
    </w:p>
    <w:p>
      <w:pPr>
        <w:shd w:val="clear" w:color="000000" w:fill="FFFFFF"/>
        <w:spacing w:before="0" w:beforeAutospacing="0" w:after="0"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lang w:eastAsia="zh-CN"/>
        </w:rPr>
        <w:t>二十</w:t>
      </w:r>
      <w:r>
        <w:rPr>
          <w:rFonts w:hint="eastAsia" w:ascii="黑体" w:hAnsi="黑体" w:eastAsia="黑体" w:cs="黑体"/>
          <w:bCs/>
          <w:kern w:val="0"/>
          <w:sz w:val="32"/>
          <w:szCs w:val="32"/>
        </w:rPr>
        <w:t>、本意见所称的政府投资，是指使用一般公共预算资金、政府性基金、财政专户管理的资金、国有企业事业单位自有资金、经营预算资金或融资资金，以及土地、房产、知识产权等各类有形或无形国有资产，并且国有资产投资者实际拥有控股权的投资。所称的控股，是指投资占项目总投资50%以上。所称的以上、以下，均包括本数。</w:t>
      </w:r>
    </w:p>
    <w:p>
      <w:pPr>
        <w:shd w:val="clear" w:color="000000" w:fill="FFFFFF"/>
        <w:spacing w:before="0" w:beforeAutospacing="0" w:after="0"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二十</w:t>
      </w:r>
      <w:r>
        <w:rPr>
          <w:rFonts w:hint="eastAsia" w:ascii="黑体" w:hAnsi="黑体" w:eastAsia="黑体" w:cs="黑体"/>
          <w:bCs/>
          <w:kern w:val="0"/>
          <w:sz w:val="32"/>
          <w:szCs w:val="32"/>
          <w:lang w:eastAsia="zh-CN"/>
        </w:rPr>
        <w:t>一</w:t>
      </w:r>
      <w:r>
        <w:rPr>
          <w:rFonts w:hint="eastAsia" w:ascii="黑体" w:hAnsi="黑体" w:eastAsia="黑体" w:cs="黑体"/>
          <w:bCs/>
          <w:kern w:val="0"/>
          <w:sz w:val="32"/>
          <w:szCs w:val="32"/>
        </w:rPr>
        <w:t>、本意见对政府投资房屋建筑和市政公用工程招标投标管理相关事项未作规定的，按有关法律、法规、规章和政策措施执行。</w:t>
      </w:r>
    </w:p>
    <w:p>
      <w:pPr>
        <w:shd w:val="clear" w:color="000000" w:fill="FFFFFF"/>
        <w:spacing w:before="0" w:beforeAutospacing="0" w:after="0"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本意见执行过程中，国家和省新出台的法律、法规、规章和政策措施同本意见规定不一致的，按国家和省新出台的法律、法规、规章和政策措施政策法规执行，并及时对本意见予以修订。</w:t>
      </w:r>
    </w:p>
    <w:p>
      <w:pPr>
        <w:shd w:val="clear" w:color="000000" w:fill="FFFFFF"/>
        <w:spacing w:before="0" w:beforeAutospacing="0" w:after="0" w:line="600" w:lineRule="exact"/>
        <w:ind w:firstLine="636" w:firstLineChars="199"/>
        <w:rPr>
          <w:rFonts w:ascii="黑体" w:hAnsi="黑体" w:eastAsia="黑体" w:cs="黑体"/>
          <w:bCs/>
          <w:kern w:val="0"/>
          <w:sz w:val="32"/>
          <w:szCs w:val="32"/>
        </w:rPr>
      </w:pPr>
      <w:r>
        <w:rPr>
          <w:rFonts w:hint="eastAsia" w:ascii="黑体" w:hAnsi="黑体" w:eastAsia="黑体" w:cs="黑体"/>
          <w:bCs/>
          <w:kern w:val="0"/>
          <w:sz w:val="32"/>
          <w:szCs w:val="32"/>
        </w:rPr>
        <w:t>二十</w:t>
      </w:r>
      <w:r>
        <w:rPr>
          <w:rFonts w:hint="eastAsia" w:ascii="黑体" w:hAnsi="黑体" w:eastAsia="黑体" w:cs="黑体"/>
          <w:bCs/>
          <w:kern w:val="0"/>
          <w:sz w:val="32"/>
          <w:szCs w:val="32"/>
          <w:lang w:eastAsia="zh-CN"/>
        </w:rPr>
        <w:t>二</w:t>
      </w:r>
      <w:r>
        <w:rPr>
          <w:rFonts w:hint="eastAsia" w:ascii="黑体" w:hAnsi="黑体" w:eastAsia="黑体" w:cs="黑体"/>
          <w:bCs/>
          <w:kern w:val="0"/>
          <w:sz w:val="32"/>
          <w:szCs w:val="32"/>
        </w:rPr>
        <w:t>、</w:t>
      </w:r>
      <w:r>
        <w:rPr>
          <w:rFonts w:hint="eastAsia" w:ascii="黑体" w:hAnsi="黑体" w:eastAsia="黑体" w:cs="黑体"/>
          <w:bCs/>
          <w:kern w:val="0"/>
          <w:sz w:val="32"/>
          <w:szCs w:val="32"/>
          <w:u w:val="none"/>
        </w:rPr>
        <w:t>本意见试行</w:t>
      </w:r>
      <w:r>
        <w:rPr>
          <w:rFonts w:hint="eastAsia" w:ascii="黑体" w:hAnsi="黑体" w:eastAsia="黑体" w:cs="黑体"/>
          <w:bCs/>
          <w:kern w:val="0"/>
          <w:sz w:val="32"/>
          <w:szCs w:val="32"/>
          <w:u w:val="none"/>
          <w:lang w:eastAsia="zh-CN"/>
        </w:rPr>
        <w:t>五</w:t>
      </w:r>
      <w:r>
        <w:rPr>
          <w:rFonts w:hint="eastAsia" w:ascii="黑体" w:hAnsi="黑体" w:eastAsia="黑体" w:cs="黑体"/>
          <w:bCs/>
          <w:kern w:val="0"/>
          <w:sz w:val="32"/>
          <w:szCs w:val="32"/>
          <w:u w:val="none"/>
        </w:rPr>
        <w:t>年，自20</w:t>
      </w:r>
      <w:r>
        <w:rPr>
          <w:rFonts w:hint="eastAsia" w:ascii="黑体" w:hAnsi="黑体" w:eastAsia="黑体" w:cs="黑体"/>
          <w:bCs/>
          <w:kern w:val="0"/>
          <w:sz w:val="32"/>
          <w:szCs w:val="32"/>
          <w:u w:val="none"/>
          <w:lang w:val="en-US" w:eastAsia="zh-CN"/>
        </w:rPr>
        <w:t>20</w:t>
      </w:r>
      <w:r>
        <w:rPr>
          <w:rFonts w:hint="eastAsia" w:ascii="黑体" w:hAnsi="黑体" w:eastAsia="黑体" w:cs="黑体"/>
          <w:bCs/>
          <w:kern w:val="0"/>
          <w:sz w:val="32"/>
          <w:szCs w:val="32"/>
          <w:u w:val="none"/>
        </w:rPr>
        <w:t>年5月1日起实施，有效期至</w:t>
      </w:r>
      <w:r>
        <w:rPr>
          <w:rFonts w:hint="eastAsia" w:ascii="黑体" w:hAnsi="黑体" w:eastAsia="黑体" w:cs="黑体"/>
          <w:bCs/>
          <w:kern w:val="0"/>
          <w:sz w:val="32"/>
          <w:szCs w:val="32"/>
          <w:u w:val="none"/>
          <w:lang w:val="en-US" w:eastAsia="zh-CN"/>
        </w:rPr>
        <w:t>2025</w:t>
      </w:r>
      <w:r>
        <w:rPr>
          <w:rFonts w:hint="eastAsia" w:ascii="黑体" w:hAnsi="黑体" w:eastAsia="黑体" w:cs="黑体"/>
          <w:bCs/>
          <w:kern w:val="0"/>
          <w:sz w:val="32"/>
          <w:szCs w:val="32"/>
          <w:u w:val="none"/>
        </w:rPr>
        <w:t>年</w:t>
      </w:r>
      <w:r>
        <w:rPr>
          <w:rFonts w:hint="eastAsia" w:ascii="黑体" w:hAnsi="黑体" w:eastAsia="黑体" w:cs="黑体"/>
          <w:bCs/>
          <w:kern w:val="0"/>
          <w:sz w:val="32"/>
          <w:szCs w:val="32"/>
          <w:u w:val="none"/>
          <w:lang w:val="en-US" w:eastAsia="zh-CN"/>
        </w:rPr>
        <w:t>4</w:t>
      </w:r>
      <w:r>
        <w:rPr>
          <w:rFonts w:hint="eastAsia" w:ascii="黑体" w:hAnsi="黑体" w:eastAsia="黑体" w:cs="黑体"/>
          <w:bCs/>
          <w:kern w:val="0"/>
          <w:sz w:val="32"/>
          <w:szCs w:val="32"/>
          <w:u w:val="none"/>
        </w:rPr>
        <w:t>月</w:t>
      </w:r>
      <w:r>
        <w:rPr>
          <w:rFonts w:hint="eastAsia" w:ascii="黑体" w:hAnsi="黑体" w:eastAsia="黑体" w:cs="黑体"/>
          <w:bCs/>
          <w:kern w:val="0"/>
          <w:sz w:val="32"/>
          <w:szCs w:val="32"/>
          <w:u w:val="none"/>
          <w:lang w:val="en-US" w:eastAsia="zh-CN"/>
        </w:rPr>
        <w:t>30</w:t>
      </w:r>
      <w:r>
        <w:rPr>
          <w:rFonts w:hint="eastAsia" w:ascii="黑体" w:hAnsi="黑体" w:eastAsia="黑体" w:cs="黑体"/>
          <w:bCs/>
          <w:kern w:val="0"/>
          <w:sz w:val="32"/>
          <w:szCs w:val="32"/>
          <w:u w:val="none"/>
        </w:rPr>
        <w:t>日止。</w:t>
      </w:r>
      <w:r>
        <w:rPr>
          <w:rFonts w:hint="eastAsia" w:ascii="黑体" w:hAnsi="黑体" w:eastAsia="黑体" w:cs="黑体"/>
          <w:bCs/>
          <w:kern w:val="0"/>
          <w:sz w:val="32"/>
          <w:szCs w:val="32"/>
        </w:rPr>
        <w:t>有效期满需要继续施行的，根据评估情况重新修订。原《关于印发进一步加强汕头市政府投资建设工程施工招标投标管理的意见的通知》(汕府办〔2015〕80号)同时废止。</w:t>
      </w:r>
    </w:p>
    <w:p>
      <w:pPr>
        <w:spacing w:before="0" w:beforeAutospacing="0" w:after="0" w:line="240" w:lineRule="atLeast"/>
        <w:ind w:firstLine="160"/>
        <w:rPr>
          <w:rFonts w:ascii="黑体" w:hAnsi="黑体" w:eastAsia="黑体" w:cs="黑体"/>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公文小标宋简">
    <w:altName w:val="宋体"/>
    <w:panose1 w:val="00000000000000000000"/>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90"/>
      <w:rPr>
        <w:rStyle w:val="11"/>
      </w:rPr>
    </w:pPr>
    <w:r>
      <w:rPr>
        <w:rStyle w:val="11"/>
      </w:rPr>
      <w:fldChar w:fldCharType="begin"/>
    </w:r>
    <w:r>
      <w:rPr>
        <w:rStyle w:val="11"/>
      </w:rPr>
      <w:instrText xml:space="preserve">PAGE  </w:instrText>
    </w:r>
    <w:r>
      <w:rPr>
        <w:rStyle w:val="11"/>
      </w:rPr>
      <w:fldChar w:fldCharType="separate"/>
    </w:r>
    <w:r>
      <w:rPr>
        <w:rStyle w:val="11"/>
      </w:rPr>
      <w:t>24</w:t>
    </w:r>
    <w:r>
      <w:rPr>
        <w:rStyle w:val="11"/>
      </w:rPr>
      <w:fldChar w:fldCharType="end"/>
    </w:r>
  </w:p>
  <w:p>
    <w:pPr>
      <w:pStyle w:val="4"/>
      <w:ind w:firstLine="90"/>
      <w:jc w:val="right"/>
    </w:pPr>
  </w:p>
  <w:p>
    <w:pPr>
      <w:pStyle w:val="4"/>
      <w:ind w:firstLine="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90"/>
      <w:rPr>
        <w:rStyle w:val="11"/>
      </w:rPr>
    </w:pPr>
    <w:r>
      <w:rPr>
        <w:rStyle w:val="11"/>
      </w:rPr>
      <w:fldChar w:fldCharType="begin"/>
    </w:r>
    <w:r>
      <w:rPr>
        <w:rStyle w:val="11"/>
      </w:rPr>
      <w:instrText xml:space="preserve">PAGE  </w:instrText>
    </w:r>
    <w:r>
      <w:rPr>
        <w:rStyle w:val="11"/>
      </w:rPr>
      <w:fldChar w:fldCharType="end"/>
    </w:r>
  </w:p>
  <w:p>
    <w:pPr>
      <w:pStyle w:val="4"/>
      <w:ind w:firstLine="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4200"/>
        <w:tab w:val="clear" w:pos="8306"/>
      </w:tabs>
      <w:ind w:firstLine="9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45E69"/>
    <w:rsid w:val="00001F80"/>
    <w:rsid w:val="00003DD6"/>
    <w:rsid w:val="000048E0"/>
    <w:rsid w:val="00004FB4"/>
    <w:rsid w:val="00007471"/>
    <w:rsid w:val="0001090F"/>
    <w:rsid w:val="00013369"/>
    <w:rsid w:val="00013EB0"/>
    <w:rsid w:val="00017C13"/>
    <w:rsid w:val="00020B48"/>
    <w:rsid w:val="00021E81"/>
    <w:rsid w:val="00024140"/>
    <w:rsid w:val="00026797"/>
    <w:rsid w:val="00026F1B"/>
    <w:rsid w:val="00027FF5"/>
    <w:rsid w:val="00031AE7"/>
    <w:rsid w:val="00032F9A"/>
    <w:rsid w:val="000374AE"/>
    <w:rsid w:val="00061AD2"/>
    <w:rsid w:val="00065F1E"/>
    <w:rsid w:val="00066CB2"/>
    <w:rsid w:val="00071964"/>
    <w:rsid w:val="000719D6"/>
    <w:rsid w:val="00071ABF"/>
    <w:rsid w:val="00075003"/>
    <w:rsid w:val="00077C73"/>
    <w:rsid w:val="00077E63"/>
    <w:rsid w:val="000802CC"/>
    <w:rsid w:val="000815CF"/>
    <w:rsid w:val="000823C8"/>
    <w:rsid w:val="000837D5"/>
    <w:rsid w:val="0008466D"/>
    <w:rsid w:val="00085671"/>
    <w:rsid w:val="00087B5D"/>
    <w:rsid w:val="00091CDF"/>
    <w:rsid w:val="0009245D"/>
    <w:rsid w:val="00093697"/>
    <w:rsid w:val="00095F2F"/>
    <w:rsid w:val="00096596"/>
    <w:rsid w:val="000A2AC0"/>
    <w:rsid w:val="000A35DB"/>
    <w:rsid w:val="000A6472"/>
    <w:rsid w:val="000B50E9"/>
    <w:rsid w:val="000B6901"/>
    <w:rsid w:val="000C1A5D"/>
    <w:rsid w:val="000C2880"/>
    <w:rsid w:val="000C37B6"/>
    <w:rsid w:val="000C6936"/>
    <w:rsid w:val="000D6524"/>
    <w:rsid w:val="000E2E8E"/>
    <w:rsid w:val="000E2F09"/>
    <w:rsid w:val="000E513B"/>
    <w:rsid w:val="000F0E1C"/>
    <w:rsid w:val="000F7FB7"/>
    <w:rsid w:val="00100AD3"/>
    <w:rsid w:val="00101AE1"/>
    <w:rsid w:val="00101B82"/>
    <w:rsid w:val="00102648"/>
    <w:rsid w:val="0010588B"/>
    <w:rsid w:val="001102A2"/>
    <w:rsid w:val="00110EC7"/>
    <w:rsid w:val="001213CF"/>
    <w:rsid w:val="001221A5"/>
    <w:rsid w:val="00122580"/>
    <w:rsid w:val="0012690B"/>
    <w:rsid w:val="00126C4C"/>
    <w:rsid w:val="001300EC"/>
    <w:rsid w:val="001314D7"/>
    <w:rsid w:val="001318BD"/>
    <w:rsid w:val="00132D83"/>
    <w:rsid w:val="00135167"/>
    <w:rsid w:val="00135767"/>
    <w:rsid w:val="001455E5"/>
    <w:rsid w:val="0015236C"/>
    <w:rsid w:val="0015658F"/>
    <w:rsid w:val="00160102"/>
    <w:rsid w:val="00161117"/>
    <w:rsid w:val="0016588E"/>
    <w:rsid w:val="001659E1"/>
    <w:rsid w:val="001662EA"/>
    <w:rsid w:val="001668C6"/>
    <w:rsid w:val="001669C4"/>
    <w:rsid w:val="00167323"/>
    <w:rsid w:val="001758CB"/>
    <w:rsid w:val="001807D4"/>
    <w:rsid w:val="0018249F"/>
    <w:rsid w:val="001825B6"/>
    <w:rsid w:val="0018528D"/>
    <w:rsid w:val="00185337"/>
    <w:rsid w:val="001875A6"/>
    <w:rsid w:val="001875C1"/>
    <w:rsid w:val="0019000D"/>
    <w:rsid w:val="001928B6"/>
    <w:rsid w:val="001A13BB"/>
    <w:rsid w:val="001B1A4A"/>
    <w:rsid w:val="001B3D7E"/>
    <w:rsid w:val="001B5B2A"/>
    <w:rsid w:val="001B64F6"/>
    <w:rsid w:val="001B76A0"/>
    <w:rsid w:val="001C0013"/>
    <w:rsid w:val="001C0D69"/>
    <w:rsid w:val="001C1A6D"/>
    <w:rsid w:val="001C45D3"/>
    <w:rsid w:val="001D0130"/>
    <w:rsid w:val="001D0D02"/>
    <w:rsid w:val="001D2B48"/>
    <w:rsid w:val="001D3556"/>
    <w:rsid w:val="001D44C9"/>
    <w:rsid w:val="001E0155"/>
    <w:rsid w:val="001E0C1F"/>
    <w:rsid w:val="001E24D2"/>
    <w:rsid w:val="001E3460"/>
    <w:rsid w:val="001E4CA7"/>
    <w:rsid w:val="001E5D5B"/>
    <w:rsid w:val="001F0A10"/>
    <w:rsid w:val="001F2208"/>
    <w:rsid w:val="001F2D82"/>
    <w:rsid w:val="001F2F2A"/>
    <w:rsid w:val="00200838"/>
    <w:rsid w:val="00203016"/>
    <w:rsid w:val="002063C0"/>
    <w:rsid w:val="00206A7B"/>
    <w:rsid w:val="00210020"/>
    <w:rsid w:val="0021104E"/>
    <w:rsid w:val="00222BE3"/>
    <w:rsid w:val="0022335C"/>
    <w:rsid w:val="0022418C"/>
    <w:rsid w:val="002247DC"/>
    <w:rsid w:val="002270E6"/>
    <w:rsid w:val="00230581"/>
    <w:rsid w:val="00232AF0"/>
    <w:rsid w:val="0023738A"/>
    <w:rsid w:val="00242ACF"/>
    <w:rsid w:val="00250BBC"/>
    <w:rsid w:val="0025247F"/>
    <w:rsid w:val="00252950"/>
    <w:rsid w:val="00254A15"/>
    <w:rsid w:val="0025510D"/>
    <w:rsid w:val="00256441"/>
    <w:rsid w:val="00264B21"/>
    <w:rsid w:val="00265685"/>
    <w:rsid w:val="002671FE"/>
    <w:rsid w:val="0027327F"/>
    <w:rsid w:val="00283586"/>
    <w:rsid w:val="00283F68"/>
    <w:rsid w:val="00284008"/>
    <w:rsid w:val="00287163"/>
    <w:rsid w:val="002872B1"/>
    <w:rsid w:val="00287537"/>
    <w:rsid w:val="00291F89"/>
    <w:rsid w:val="00292DA0"/>
    <w:rsid w:val="00293AB1"/>
    <w:rsid w:val="002948C5"/>
    <w:rsid w:val="002A04E5"/>
    <w:rsid w:val="002A1B44"/>
    <w:rsid w:val="002C2788"/>
    <w:rsid w:val="002C278A"/>
    <w:rsid w:val="002C2F7C"/>
    <w:rsid w:val="002C7C4D"/>
    <w:rsid w:val="002D58EF"/>
    <w:rsid w:val="002D6FD9"/>
    <w:rsid w:val="002E1A8A"/>
    <w:rsid w:val="002E3F44"/>
    <w:rsid w:val="002E43E4"/>
    <w:rsid w:val="002E465A"/>
    <w:rsid w:val="002E596C"/>
    <w:rsid w:val="002E64F1"/>
    <w:rsid w:val="002E7729"/>
    <w:rsid w:val="002F198A"/>
    <w:rsid w:val="00302ECE"/>
    <w:rsid w:val="0030352B"/>
    <w:rsid w:val="00313B07"/>
    <w:rsid w:val="00320BBA"/>
    <w:rsid w:val="0032257F"/>
    <w:rsid w:val="003236EF"/>
    <w:rsid w:val="00323F98"/>
    <w:rsid w:val="00327B84"/>
    <w:rsid w:val="0033200B"/>
    <w:rsid w:val="00336EEB"/>
    <w:rsid w:val="00337E89"/>
    <w:rsid w:val="003416B3"/>
    <w:rsid w:val="00346734"/>
    <w:rsid w:val="003474C1"/>
    <w:rsid w:val="00353759"/>
    <w:rsid w:val="00354E65"/>
    <w:rsid w:val="00355D25"/>
    <w:rsid w:val="00357C9F"/>
    <w:rsid w:val="0036023D"/>
    <w:rsid w:val="00360CCD"/>
    <w:rsid w:val="003610FE"/>
    <w:rsid w:val="00362F55"/>
    <w:rsid w:val="00376073"/>
    <w:rsid w:val="00377523"/>
    <w:rsid w:val="00377FB7"/>
    <w:rsid w:val="00386980"/>
    <w:rsid w:val="003926C1"/>
    <w:rsid w:val="003946CD"/>
    <w:rsid w:val="00395ED3"/>
    <w:rsid w:val="003A0A1C"/>
    <w:rsid w:val="003A38E9"/>
    <w:rsid w:val="003A477D"/>
    <w:rsid w:val="003B1369"/>
    <w:rsid w:val="003B1638"/>
    <w:rsid w:val="003B16C7"/>
    <w:rsid w:val="003B3B1F"/>
    <w:rsid w:val="003B4179"/>
    <w:rsid w:val="003B5730"/>
    <w:rsid w:val="003C3C8A"/>
    <w:rsid w:val="003C4394"/>
    <w:rsid w:val="003C5F93"/>
    <w:rsid w:val="003C72AB"/>
    <w:rsid w:val="003D5D00"/>
    <w:rsid w:val="003D7CC5"/>
    <w:rsid w:val="003E0642"/>
    <w:rsid w:val="003E0ACD"/>
    <w:rsid w:val="003E1C7F"/>
    <w:rsid w:val="003E218A"/>
    <w:rsid w:val="003E2F3C"/>
    <w:rsid w:val="003E5D86"/>
    <w:rsid w:val="003E6F1C"/>
    <w:rsid w:val="003E78B5"/>
    <w:rsid w:val="003F53FC"/>
    <w:rsid w:val="00405CB4"/>
    <w:rsid w:val="0040776C"/>
    <w:rsid w:val="0040787E"/>
    <w:rsid w:val="00407BAB"/>
    <w:rsid w:val="004123FD"/>
    <w:rsid w:val="00412C34"/>
    <w:rsid w:val="00413298"/>
    <w:rsid w:val="00421807"/>
    <w:rsid w:val="0043078F"/>
    <w:rsid w:val="00430A6E"/>
    <w:rsid w:val="00430FC8"/>
    <w:rsid w:val="00435A49"/>
    <w:rsid w:val="004370C9"/>
    <w:rsid w:val="00443687"/>
    <w:rsid w:val="00451C24"/>
    <w:rsid w:val="00454C03"/>
    <w:rsid w:val="00455D2B"/>
    <w:rsid w:val="004560CB"/>
    <w:rsid w:val="00463921"/>
    <w:rsid w:val="00463BBD"/>
    <w:rsid w:val="0046549F"/>
    <w:rsid w:val="00466DBA"/>
    <w:rsid w:val="00470375"/>
    <w:rsid w:val="004707E5"/>
    <w:rsid w:val="004719F7"/>
    <w:rsid w:val="0047243F"/>
    <w:rsid w:val="0047346E"/>
    <w:rsid w:val="00473C6D"/>
    <w:rsid w:val="00480A88"/>
    <w:rsid w:val="00480B29"/>
    <w:rsid w:val="004811C2"/>
    <w:rsid w:val="0048388E"/>
    <w:rsid w:val="00490050"/>
    <w:rsid w:val="00492357"/>
    <w:rsid w:val="00496430"/>
    <w:rsid w:val="0049756E"/>
    <w:rsid w:val="004A4DC6"/>
    <w:rsid w:val="004A5429"/>
    <w:rsid w:val="004A5826"/>
    <w:rsid w:val="004A6C98"/>
    <w:rsid w:val="004B0DAF"/>
    <w:rsid w:val="004B3172"/>
    <w:rsid w:val="004B4037"/>
    <w:rsid w:val="004B41F2"/>
    <w:rsid w:val="004B4E02"/>
    <w:rsid w:val="004B4F49"/>
    <w:rsid w:val="004B4FDF"/>
    <w:rsid w:val="004B543B"/>
    <w:rsid w:val="004B5D34"/>
    <w:rsid w:val="004C001F"/>
    <w:rsid w:val="004C1F03"/>
    <w:rsid w:val="004C2097"/>
    <w:rsid w:val="004D6D24"/>
    <w:rsid w:val="004D7E08"/>
    <w:rsid w:val="004E1473"/>
    <w:rsid w:val="004E46DB"/>
    <w:rsid w:val="004E4BC3"/>
    <w:rsid w:val="004F0B49"/>
    <w:rsid w:val="004F1321"/>
    <w:rsid w:val="004F20A0"/>
    <w:rsid w:val="00503073"/>
    <w:rsid w:val="005040E4"/>
    <w:rsid w:val="00507EA0"/>
    <w:rsid w:val="00511545"/>
    <w:rsid w:val="005134D5"/>
    <w:rsid w:val="00521939"/>
    <w:rsid w:val="00524251"/>
    <w:rsid w:val="00525D38"/>
    <w:rsid w:val="00527077"/>
    <w:rsid w:val="00527F4B"/>
    <w:rsid w:val="005331E2"/>
    <w:rsid w:val="00533AC6"/>
    <w:rsid w:val="005359E5"/>
    <w:rsid w:val="00536D6B"/>
    <w:rsid w:val="005377CF"/>
    <w:rsid w:val="00540E1F"/>
    <w:rsid w:val="00545E69"/>
    <w:rsid w:val="0054672F"/>
    <w:rsid w:val="00550FFB"/>
    <w:rsid w:val="00567527"/>
    <w:rsid w:val="00570727"/>
    <w:rsid w:val="00571DB9"/>
    <w:rsid w:val="0057231E"/>
    <w:rsid w:val="00585287"/>
    <w:rsid w:val="0058537F"/>
    <w:rsid w:val="00585593"/>
    <w:rsid w:val="00585BCC"/>
    <w:rsid w:val="00587117"/>
    <w:rsid w:val="00593087"/>
    <w:rsid w:val="005935F9"/>
    <w:rsid w:val="00593F60"/>
    <w:rsid w:val="00597E34"/>
    <w:rsid w:val="00597F06"/>
    <w:rsid w:val="005A1547"/>
    <w:rsid w:val="005A3559"/>
    <w:rsid w:val="005B36CE"/>
    <w:rsid w:val="005B6B8B"/>
    <w:rsid w:val="005C78FC"/>
    <w:rsid w:val="005D5650"/>
    <w:rsid w:val="005D5C6B"/>
    <w:rsid w:val="005D7CFE"/>
    <w:rsid w:val="005E1D98"/>
    <w:rsid w:val="005E312D"/>
    <w:rsid w:val="005E7E45"/>
    <w:rsid w:val="005F037C"/>
    <w:rsid w:val="005F1EEA"/>
    <w:rsid w:val="005F5843"/>
    <w:rsid w:val="005F79DA"/>
    <w:rsid w:val="00601CF6"/>
    <w:rsid w:val="006024EC"/>
    <w:rsid w:val="006250DB"/>
    <w:rsid w:val="00627114"/>
    <w:rsid w:val="00630246"/>
    <w:rsid w:val="006317D0"/>
    <w:rsid w:val="00631947"/>
    <w:rsid w:val="00632C73"/>
    <w:rsid w:val="00634608"/>
    <w:rsid w:val="00634A77"/>
    <w:rsid w:val="00634F96"/>
    <w:rsid w:val="006407C6"/>
    <w:rsid w:val="00640E68"/>
    <w:rsid w:val="006424F8"/>
    <w:rsid w:val="0064275B"/>
    <w:rsid w:val="00644B7B"/>
    <w:rsid w:val="00655BF4"/>
    <w:rsid w:val="00657F52"/>
    <w:rsid w:val="00660250"/>
    <w:rsid w:val="00662E8C"/>
    <w:rsid w:val="00664E9A"/>
    <w:rsid w:val="00672D89"/>
    <w:rsid w:val="006732B3"/>
    <w:rsid w:val="0067343E"/>
    <w:rsid w:val="00675DEB"/>
    <w:rsid w:val="00676BC2"/>
    <w:rsid w:val="006819D1"/>
    <w:rsid w:val="006903E7"/>
    <w:rsid w:val="00695848"/>
    <w:rsid w:val="00695F20"/>
    <w:rsid w:val="00696169"/>
    <w:rsid w:val="006A1052"/>
    <w:rsid w:val="006A222D"/>
    <w:rsid w:val="006A4578"/>
    <w:rsid w:val="006A5247"/>
    <w:rsid w:val="006B09C4"/>
    <w:rsid w:val="006B30FF"/>
    <w:rsid w:val="006B3163"/>
    <w:rsid w:val="006B31FA"/>
    <w:rsid w:val="006B3EA8"/>
    <w:rsid w:val="006B5DAC"/>
    <w:rsid w:val="006C0445"/>
    <w:rsid w:val="006C68C2"/>
    <w:rsid w:val="006C6A5D"/>
    <w:rsid w:val="006C7AE8"/>
    <w:rsid w:val="006D4B17"/>
    <w:rsid w:val="006D6286"/>
    <w:rsid w:val="006E21E5"/>
    <w:rsid w:val="006F0A69"/>
    <w:rsid w:val="006F38C1"/>
    <w:rsid w:val="006F5CB9"/>
    <w:rsid w:val="006F7DB7"/>
    <w:rsid w:val="006F7F50"/>
    <w:rsid w:val="00701ACA"/>
    <w:rsid w:val="007048A5"/>
    <w:rsid w:val="0071030B"/>
    <w:rsid w:val="00712CB1"/>
    <w:rsid w:val="00713AD5"/>
    <w:rsid w:val="00716D95"/>
    <w:rsid w:val="0071766E"/>
    <w:rsid w:val="00723B89"/>
    <w:rsid w:val="00725DA8"/>
    <w:rsid w:val="00726D6F"/>
    <w:rsid w:val="007275E8"/>
    <w:rsid w:val="00732B6F"/>
    <w:rsid w:val="00737F4B"/>
    <w:rsid w:val="00740244"/>
    <w:rsid w:val="00740D34"/>
    <w:rsid w:val="0074611F"/>
    <w:rsid w:val="00750241"/>
    <w:rsid w:val="00761A2F"/>
    <w:rsid w:val="00765033"/>
    <w:rsid w:val="0076648E"/>
    <w:rsid w:val="00767550"/>
    <w:rsid w:val="0077431C"/>
    <w:rsid w:val="0078102C"/>
    <w:rsid w:val="007823A5"/>
    <w:rsid w:val="00783193"/>
    <w:rsid w:val="0078573D"/>
    <w:rsid w:val="00790398"/>
    <w:rsid w:val="0079145F"/>
    <w:rsid w:val="0079149F"/>
    <w:rsid w:val="00791AC5"/>
    <w:rsid w:val="007948AF"/>
    <w:rsid w:val="007949E6"/>
    <w:rsid w:val="007950AF"/>
    <w:rsid w:val="00795900"/>
    <w:rsid w:val="00795B8D"/>
    <w:rsid w:val="00796CBA"/>
    <w:rsid w:val="007A0DD3"/>
    <w:rsid w:val="007A1406"/>
    <w:rsid w:val="007A27FB"/>
    <w:rsid w:val="007B12E8"/>
    <w:rsid w:val="007C48C1"/>
    <w:rsid w:val="007C5011"/>
    <w:rsid w:val="007D27D5"/>
    <w:rsid w:val="007D3C8F"/>
    <w:rsid w:val="007D7594"/>
    <w:rsid w:val="007E31CC"/>
    <w:rsid w:val="007E3CF9"/>
    <w:rsid w:val="007E5036"/>
    <w:rsid w:val="007E5863"/>
    <w:rsid w:val="007E784B"/>
    <w:rsid w:val="007F0CDF"/>
    <w:rsid w:val="007F3F67"/>
    <w:rsid w:val="007F65BB"/>
    <w:rsid w:val="0080195D"/>
    <w:rsid w:val="00803DF1"/>
    <w:rsid w:val="00806432"/>
    <w:rsid w:val="0080708E"/>
    <w:rsid w:val="00810648"/>
    <w:rsid w:val="00812A1A"/>
    <w:rsid w:val="00813950"/>
    <w:rsid w:val="0081452E"/>
    <w:rsid w:val="008151FF"/>
    <w:rsid w:val="00815916"/>
    <w:rsid w:val="00820EB7"/>
    <w:rsid w:val="00821623"/>
    <w:rsid w:val="008244B3"/>
    <w:rsid w:val="008315FB"/>
    <w:rsid w:val="00835059"/>
    <w:rsid w:val="008374C5"/>
    <w:rsid w:val="008451A8"/>
    <w:rsid w:val="00846444"/>
    <w:rsid w:val="008519C7"/>
    <w:rsid w:val="00853D72"/>
    <w:rsid w:val="00857B5C"/>
    <w:rsid w:val="00862B9B"/>
    <w:rsid w:val="00862C94"/>
    <w:rsid w:val="008652F4"/>
    <w:rsid w:val="00866140"/>
    <w:rsid w:val="0086624A"/>
    <w:rsid w:val="00867666"/>
    <w:rsid w:val="00874A54"/>
    <w:rsid w:val="008751AA"/>
    <w:rsid w:val="00886622"/>
    <w:rsid w:val="008911B5"/>
    <w:rsid w:val="008A5270"/>
    <w:rsid w:val="008B22B1"/>
    <w:rsid w:val="008B6776"/>
    <w:rsid w:val="008D2AB1"/>
    <w:rsid w:val="008E244C"/>
    <w:rsid w:val="008E2577"/>
    <w:rsid w:val="008E4492"/>
    <w:rsid w:val="008E5C66"/>
    <w:rsid w:val="008F2CF2"/>
    <w:rsid w:val="00901B5F"/>
    <w:rsid w:val="009050EF"/>
    <w:rsid w:val="009105F3"/>
    <w:rsid w:val="009170E3"/>
    <w:rsid w:val="0092517A"/>
    <w:rsid w:val="00925587"/>
    <w:rsid w:val="009256F1"/>
    <w:rsid w:val="009262E5"/>
    <w:rsid w:val="009365B4"/>
    <w:rsid w:val="009369D7"/>
    <w:rsid w:val="009426F5"/>
    <w:rsid w:val="009429B2"/>
    <w:rsid w:val="00942C98"/>
    <w:rsid w:val="00945D66"/>
    <w:rsid w:val="0095673B"/>
    <w:rsid w:val="00956A05"/>
    <w:rsid w:val="009624C2"/>
    <w:rsid w:val="00963270"/>
    <w:rsid w:val="009639A5"/>
    <w:rsid w:val="009708ED"/>
    <w:rsid w:val="009738FC"/>
    <w:rsid w:val="00977574"/>
    <w:rsid w:val="009869B8"/>
    <w:rsid w:val="00991DC6"/>
    <w:rsid w:val="009958D0"/>
    <w:rsid w:val="009A2C0E"/>
    <w:rsid w:val="009A2F46"/>
    <w:rsid w:val="009A364F"/>
    <w:rsid w:val="009A3E55"/>
    <w:rsid w:val="009A43BF"/>
    <w:rsid w:val="009A5D82"/>
    <w:rsid w:val="009B4B2B"/>
    <w:rsid w:val="009B6336"/>
    <w:rsid w:val="009C3A96"/>
    <w:rsid w:val="009C612D"/>
    <w:rsid w:val="009D17FA"/>
    <w:rsid w:val="009D316C"/>
    <w:rsid w:val="009D3F90"/>
    <w:rsid w:val="009E2832"/>
    <w:rsid w:val="009E5E7C"/>
    <w:rsid w:val="009E6493"/>
    <w:rsid w:val="009E6741"/>
    <w:rsid w:val="009E725B"/>
    <w:rsid w:val="009F185E"/>
    <w:rsid w:val="009F2253"/>
    <w:rsid w:val="009F2DEB"/>
    <w:rsid w:val="009F4ED7"/>
    <w:rsid w:val="009F68B0"/>
    <w:rsid w:val="009F6B65"/>
    <w:rsid w:val="009F6D80"/>
    <w:rsid w:val="00A03ED6"/>
    <w:rsid w:val="00A049DD"/>
    <w:rsid w:val="00A06949"/>
    <w:rsid w:val="00A070C7"/>
    <w:rsid w:val="00A11B14"/>
    <w:rsid w:val="00A1274A"/>
    <w:rsid w:val="00A160C2"/>
    <w:rsid w:val="00A205AF"/>
    <w:rsid w:val="00A22296"/>
    <w:rsid w:val="00A222D0"/>
    <w:rsid w:val="00A2261C"/>
    <w:rsid w:val="00A22F40"/>
    <w:rsid w:val="00A250FC"/>
    <w:rsid w:val="00A266CF"/>
    <w:rsid w:val="00A27D3C"/>
    <w:rsid w:val="00A312AF"/>
    <w:rsid w:val="00A3134A"/>
    <w:rsid w:val="00A32E21"/>
    <w:rsid w:val="00A35AF9"/>
    <w:rsid w:val="00A36B72"/>
    <w:rsid w:val="00A37DD3"/>
    <w:rsid w:val="00A4531B"/>
    <w:rsid w:val="00A4553A"/>
    <w:rsid w:val="00A54883"/>
    <w:rsid w:val="00A55012"/>
    <w:rsid w:val="00A55C96"/>
    <w:rsid w:val="00A567CC"/>
    <w:rsid w:val="00A60279"/>
    <w:rsid w:val="00A628D3"/>
    <w:rsid w:val="00A6404F"/>
    <w:rsid w:val="00A65798"/>
    <w:rsid w:val="00A72185"/>
    <w:rsid w:val="00A728B8"/>
    <w:rsid w:val="00A7357B"/>
    <w:rsid w:val="00A80203"/>
    <w:rsid w:val="00A810C1"/>
    <w:rsid w:val="00A84CB1"/>
    <w:rsid w:val="00A85454"/>
    <w:rsid w:val="00A85F0D"/>
    <w:rsid w:val="00A87DAB"/>
    <w:rsid w:val="00A90161"/>
    <w:rsid w:val="00A917E2"/>
    <w:rsid w:val="00AA637B"/>
    <w:rsid w:val="00AB00FE"/>
    <w:rsid w:val="00AB1218"/>
    <w:rsid w:val="00AB37D5"/>
    <w:rsid w:val="00AC0378"/>
    <w:rsid w:val="00AC0768"/>
    <w:rsid w:val="00AC09CF"/>
    <w:rsid w:val="00AC1C45"/>
    <w:rsid w:val="00AC2E09"/>
    <w:rsid w:val="00AC3896"/>
    <w:rsid w:val="00AC45E8"/>
    <w:rsid w:val="00AC4EBE"/>
    <w:rsid w:val="00AC7FDF"/>
    <w:rsid w:val="00AD05BC"/>
    <w:rsid w:val="00AD102A"/>
    <w:rsid w:val="00AD24E2"/>
    <w:rsid w:val="00AD4B16"/>
    <w:rsid w:val="00AD50DF"/>
    <w:rsid w:val="00AE0FEE"/>
    <w:rsid w:val="00AE32D0"/>
    <w:rsid w:val="00AE7157"/>
    <w:rsid w:val="00AF08D9"/>
    <w:rsid w:val="00AF09EE"/>
    <w:rsid w:val="00AF5951"/>
    <w:rsid w:val="00AF5A3B"/>
    <w:rsid w:val="00B00A7E"/>
    <w:rsid w:val="00B03E9E"/>
    <w:rsid w:val="00B05A11"/>
    <w:rsid w:val="00B07152"/>
    <w:rsid w:val="00B153EF"/>
    <w:rsid w:val="00B15B10"/>
    <w:rsid w:val="00B221F1"/>
    <w:rsid w:val="00B2381E"/>
    <w:rsid w:val="00B26809"/>
    <w:rsid w:val="00B277A9"/>
    <w:rsid w:val="00B3251A"/>
    <w:rsid w:val="00B3676C"/>
    <w:rsid w:val="00B37CB7"/>
    <w:rsid w:val="00B4008D"/>
    <w:rsid w:val="00B52742"/>
    <w:rsid w:val="00B61DA0"/>
    <w:rsid w:val="00B63587"/>
    <w:rsid w:val="00B707CF"/>
    <w:rsid w:val="00B70E00"/>
    <w:rsid w:val="00B719B3"/>
    <w:rsid w:val="00B71E40"/>
    <w:rsid w:val="00B73396"/>
    <w:rsid w:val="00B80FD3"/>
    <w:rsid w:val="00B814E7"/>
    <w:rsid w:val="00B84025"/>
    <w:rsid w:val="00B84CA5"/>
    <w:rsid w:val="00B864EB"/>
    <w:rsid w:val="00B86A8E"/>
    <w:rsid w:val="00B91876"/>
    <w:rsid w:val="00B978BB"/>
    <w:rsid w:val="00BA18F5"/>
    <w:rsid w:val="00BA1BB8"/>
    <w:rsid w:val="00BA224E"/>
    <w:rsid w:val="00BA7037"/>
    <w:rsid w:val="00BB3665"/>
    <w:rsid w:val="00BB4131"/>
    <w:rsid w:val="00BB6D74"/>
    <w:rsid w:val="00BC6F64"/>
    <w:rsid w:val="00BC75A3"/>
    <w:rsid w:val="00BD2FFE"/>
    <w:rsid w:val="00BD3310"/>
    <w:rsid w:val="00BD3479"/>
    <w:rsid w:val="00BD54E7"/>
    <w:rsid w:val="00BE23E0"/>
    <w:rsid w:val="00BE66AC"/>
    <w:rsid w:val="00BE79B4"/>
    <w:rsid w:val="00BF365E"/>
    <w:rsid w:val="00BF42BD"/>
    <w:rsid w:val="00BF4A66"/>
    <w:rsid w:val="00BF5756"/>
    <w:rsid w:val="00C001FB"/>
    <w:rsid w:val="00C01CE0"/>
    <w:rsid w:val="00C01F36"/>
    <w:rsid w:val="00C020FA"/>
    <w:rsid w:val="00C05904"/>
    <w:rsid w:val="00C05E54"/>
    <w:rsid w:val="00C066AF"/>
    <w:rsid w:val="00C133FB"/>
    <w:rsid w:val="00C167E3"/>
    <w:rsid w:val="00C20195"/>
    <w:rsid w:val="00C22064"/>
    <w:rsid w:val="00C22267"/>
    <w:rsid w:val="00C23397"/>
    <w:rsid w:val="00C23C8C"/>
    <w:rsid w:val="00C3369D"/>
    <w:rsid w:val="00C33FEA"/>
    <w:rsid w:val="00C34804"/>
    <w:rsid w:val="00C36435"/>
    <w:rsid w:val="00C37827"/>
    <w:rsid w:val="00C42006"/>
    <w:rsid w:val="00C431E1"/>
    <w:rsid w:val="00C46AD7"/>
    <w:rsid w:val="00C53319"/>
    <w:rsid w:val="00C574A8"/>
    <w:rsid w:val="00C60168"/>
    <w:rsid w:val="00C6366F"/>
    <w:rsid w:val="00C65A3B"/>
    <w:rsid w:val="00C66A52"/>
    <w:rsid w:val="00C713C0"/>
    <w:rsid w:val="00C71BEB"/>
    <w:rsid w:val="00C72C72"/>
    <w:rsid w:val="00C72DBD"/>
    <w:rsid w:val="00C76D6F"/>
    <w:rsid w:val="00C8011D"/>
    <w:rsid w:val="00C80847"/>
    <w:rsid w:val="00C80B06"/>
    <w:rsid w:val="00C80FE6"/>
    <w:rsid w:val="00C81060"/>
    <w:rsid w:val="00C81898"/>
    <w:rsid w:val="00C82482"/>
    <w:rsid w:val="00C82715"/>
    <w:rsid w:val="00C83241"/>
    <w:rsid w:val="00C83C58"/>
    <w:rsid w:val="00C903DF"/>
    <w:rsid w:val="00C9374E"/>
    <w:rsid w:val="00C940E2"/>
    <w:rsid w:val="00C946D5"/>
    <w:rsid w:val="00C948F1"/>
    <w:rsid w:val="00C976E8"/>
    <w:rsid w:val="00CA05AD"/>
    <w:rsid w:val="00CA1D47"/>
    <w:rsid w:val="00CA2B07"/>
    <w:rsid w:val="00CB05AD"/>
    <w:rsid w:val="00CB723E"/>
    <w:rsid w:val="00CB76D9"/>
    <w:rsid w:val="00CC199E"/>
    <w:rsid w:val="00CC22F8"/>
    <w:rsid w:val="00CC34BB"/>
    <w:rsid w:val="00CC395D"/>
    <w:rsid w:val="00CD0003"/>
    <w:rsid w:val="00CD30B4"/>
    <w:rsid w:val="00CD38F2"/>
    <w:rsid w:val="00CE22E7"/>
    <w:rsid w:val="00CE4C28"/>
    <w:rsid w:val="00CE6073"/>
    <w:rsid w:val="00CE7E04"/>
    <w:rsid w:val="00CF0873"/>
    <w:rsid w:val="00CF2E28"/>
    <w:rsid w:val="00CF7022"/>
    <w:rsid w:val="00D02609"/>
    <w:rsid w:val="00D0741F"/>
    <w:rsid w:val="00D10AB8"/>
    <w:rsid w:val="00D254D9"/>
    <w:rsid w:val="00D271F3"/>
    <w:rsid w:val="00D35668"/>
    <w:rsid w:val="00D374E7"/>
    <w:rsid w:val="00D40B01"/>
    <w:rsid w:val="00D44295"/>
    <w:rsid w:val="00D45AE6"/>
    <w:rsid w:val="00D46342"/>
    <w:rsid w:val="00D4687E"/>
    <w:rsid w:val="00D531AD"/>
    <w:rsid w:val="00D5763E"/>
    <w:rsid w:val="00D60AD3"/>
    <w:rsid w:val="00D61568"/>
    <w:rsid w:val="00D62D78"/>
    <w:rsid w:val="00D63755"/>
    <w:rsid w:val="00D6492A"/>
    <w:rsid w:val="00D66EF6"/>
    <w:rsid w:val="00D6767C"/>
    <w:rsid w:val="00D705E1"/>
    <w:rsid w:val="00D75D40"/>
    <w:rsid w:val="00D800B9"/>
    <w:rsid w:val="00D80820"/>
    <w:rsid w:val="00D84FF3"/>
    <w:rsid w:val="00D9579C"/>
    <w:rsid w:val="00D9602C"/>
    <w:rsid w:val="00D96242"/>
    <w:rsid w:val="00D96978"/>
    <w:rsid w:val="00D9723D"/>
    <w:rsid w:val="00DA08A6"/>
    <w:rsid w:val="00DA2210"/>
    <w:rsid w:val="00DA4EC6"/>
    <w:rsid w:val="00DA6081"/>
    <w:rsid w:val="00DB2023"/>
    <w:rsid w:val="00DB40EF"/>
    <w:rsid w:val="00DB65FB"/>
    <w:rsid w:val="00DB7981"/>
    <w:rsid w:val="00DC0163"/>
    <w:rsid w:val="00DC3637"/>
    <w:rsid w:val="00DC3E35"/>
    <w:rsid w:val="00DC6DCE"/>
    <w:rsid w:val="00DD0976"/>
    <w:rsid w:val="00DD363C"/>
    <w:rsid w:val="00DE35B7"/>
    <w:rsid w:val="00DE3BA0"/>
    <w:rsid w:val="00DE50DA"/>
    <w:rsid w:val="00DE5A75"/>
    <w:rsid w:val="00DE746F"/>
    <w:rsid w:val="00DF2322"/>
    <w:rsid w:val="00DF2F78"/>
    <w:rsid w:val="00DF41DD"/>
    <w:rsid w:val="00DF4E4A"/>
    <w:rsid w:val="00E0037D"/>
    <w:rsid w:val="00E02F64"/>
    <w:rsid w:val="00E05E6B"/>
    <w:rsid w:val="00E06285"/>
    <w:rsid w:val="00E076A9"/>
    <w:rsid w:val="00E11C8C"/>
    <w:rsid w:val="00E11FFA"/>
    <w:rsid w:val="00E13297"/>
    <w:rsid w:val="00E142E5"/>
    <w:rsid w:val="00E14AF9"/>
    <w:rsid w:val="00E15DE7"/>
    <w:rsid w:val="00E165CE"/>
    <w:rsid w:val="00E16C8B"/>
    <w:rsid w:val="00E171AA"/>
    <w:rsid w:val="00E20012"/>
    <w:rsid w:val="00E258C7"/>
    <w:rsid w:val="00E27BD3"/>
    <w:rsid w:val="00E303A7"/>
    <w:rsid w:val="00E328A7"/>
    <w:rsid w:val="00E34CD3"/>
    <w:rsid w:val="00E34FF9"/>
    <w:rsid w:val="00E36520"/>
    <w:rsid w:val="00E37317"/>
    <w:rsid w:val="00E40063"/>
    <w:rsid w:val="00E41A09"/>
    <w:rsid w:val="00E44E16"/>
    <w:rsid w:val="00E51314"/>
    <w:rsid w:val="00E534D5"/>
    <w:rsid w:val="00E55575"/>
    <w:rsid w:val="00E5585E"/>
    <w:rsid w:val="00E605CE"/>
    <w:rsid w:val="00E60CE0"/>
    <w:rsid w:val="00E6392C"/>
    <w:rsid w:val="00E6465E"/>
    <w:rsid w:val="00E72C01"/>
    <w:rsid w:val="00E77307"/>
    <w:rsid w:val="00E80ED2"/>
    <w:rsid w:val="00E82473"/>
    <w:rsid w:val="00E82C5B"/>
    <w:rsid w:val="00E8673C"/>
    <w:rsid w:val="00E9136B"/>
    <w:rsid w:val="00E92C89"/>
    <w:rsid w:val="00E93015"/>
    <w:rsid w:val="00E97A35"/>
    <w:rsid w:val="00EA338F"/>
    <w:rsid w:val="00EA54A3"/>
    <w:rsid w:val="00EA6428"/>
    <w:rsid w:val="00EB0673"/>
    <w:rsid w:val="00EC1199"/>
    <w:rsid w:val="00EC3E28"/>
    <w:rsid w:val="00EC4D29"/>
    <w:rsid w:val="00EC6262"/>
    <w:rsid w:val="00EC6EEB"/>
    <w:rsid w:val="00EC78D3"/>
    <w:rsid w:val="00EC7A40"/>
    <w:rsid w:val="00ED3027"/>
    <w:rsid w:val="00ED3158"/>
    <w:rsid w:val="00ED57AA"/>
    <w:rsid w:val="00ED7D26"/>
    <w:rsid w:val="00EE118B"/>
    <w:rsid w:val="00EE4EB7"/>
    <w:rsid w:val="00EE5992"/>
    <w:rsid w:val="00EF1D85"/>
    <w:rsid w:val="00EF1F23"/>
    <w:rsid w:val="00EF1FB9"/>
    <w:rsid w:val="00EF24A8"/>
    <w:rsid w:val="00EF6955"/>
    <w:rsid w:val="00F00A44"/>
    <w:rsid w:val="00F0337C"/>
    <w:rsid w:val="00F049B9"/>
    <w:rsid w:val="00F06930"/>
    <w:rsid w:val="00F07ACE"/>
    <w:rsid w:val="00F177D6"/>
    <w:rsid w:val="00F3053D"/>
    <w:rsid w:val="00F3198B"/>
    <w:rsid w:val="00F3341E"/>
    <w:rsid w:val="00F34ACC"/>
    <w:rsid w:val="00F3619B"/>
    <w:rsid w:val="00F36FBF"/>
    <w:rsid w:val="00F373E2"/>
    <w:rsid w:val="00F400FC"/>
    <w:rsid w:val="00F410FE"/>
    <w:rsid w:val="00F411CF"/>
    <w:rsid w:val="00F427B1"/>
    <w:rsid w:val="00F4318A"/>
    <w:rsid w:val="00F467C9"/>
    <w:rsid w:val="00F51D43"/>
    <w:rsid w:val="00F52CE4"/>
    <w:rsid w:val="00F5376C"/>
    <w:rsid w:val="00F53A89"/>
    <w:rsid w:val="00F56242"/>
    <w:rsid w:val="00F64AAD"/>
    <w:rsid w:val="00F704BE"/>
    <w:rsid w:val="00F75307"/>
    <w:rsid w:val="00F75CF1"/>
    <w:rsid w:val="00F76F2A"/>
    <w:rsid w:val="00F834F4"/>
    <w:rsid w:val="00F84F12"/>
    <w:rsid w:val="00F90FB7"/>
    <w:rsid w:val="00F94A78"/>
    <w:rsid w:val="00F94F2A"/>
    <w:rsid w:val="00F9531C"/>
    <w:rsid w:val="00F958FB"/>
    <w:rsid w:val="00FA1670"/>
    <w:rsid w:val="00FA615C"/>
    <w:rsid w:val="00FA655B"/>
    <w:rsid w:val="00FB01B2"/>
    <w:rsid w:val="00FB2B38"/>
    <w:rsid w:val="00FB407A"/>
    <w:rsid w:val="00FB67CD"/>
    <w:rsid w:val="00FB7213"/>
    <w:rsid w:val="00FB76A9"/>
    <w:rsid w:val="00FC085F"/>
    <w:rsid w:val="00FC1393"/>
    <w:rsid w:val="00FC297F"/>
    <w:rsid w:val="00FC409D"/>
    <w:rsid w:val="00FD0BD6"/>
    <w:rsid w:val="00FD15A4"/>
    <w:rsid w:val="00FD4210"/>
    <w:rsid w:val="00FD5924"/>
    <w:rsid w:val="00FD6DBC"/>
    <w:rsid w:val="00FD6E2D"/>
    <w:rsid w:val="00FE2614"/>
    <w:rsid w:val="00FE6B8F"/>
    <w:rsid w:val="00FF0DB4"/>
    <w:rsid w:val="00FF65CA"/>
    <w:rsid w:val="08387789"/>
    <w:rsid w:val="102A5C29"/>
    <w:rsid w:val="12E348E5"/>
    <w:rsid w:val="169403BF"/>
    <w:rsid w:val="29227BCD"/>
    <w:rsid w:val="29954431"/>
    <w:rsid w:val="36712FC0"/>
    <w:rsid w:val="3F12300C"/>
    <w:rsid w:val="3FC10C85"/>
    <w:rsid w:val="3FDA074D"/>
    <w:rsid w:val="40225A34"/>
    <w:rsid w:val="4F541F3B"/>
    <w:rsid w:val="4F8B1076"/>
    <w:rsid w:val="58A62831"/>
    <w:rsid w:val="598A3817"/>
    <w:rsid w:val="665F69EF"/>
    <w:rsid w:val="680C55E4"/>
    <w:rsid w:val="73D04D36"/>
    <w:rsid w:val="749020ED"/>
    <w:rsid w:val="7BF842AF"/>
    <w:rsid w:val="7DE75D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20" w:line="500" w:lineRule="exact"/>
      <w:ind w:firstLine="50" w:firstLineChars="5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style>
  <w:style w:type="paragraph" w:styleId="3">
    <w:name w:val="Balloon Text"/>
    <w:basedOn w:val="1"/>
    <w:link w:val="24"/>
    <w:semiHidden/>
    <w:qFormat/>
    <w:uiPriority w:val="99"/>
    <w:pPr>
      <w:spacing w:before="0" w:after="0" w:line="240" w:lineRule="auto"/>
    </w:pPr>
    <w:rPr>
      <w:sz w:val="18"/>
      <w:szCs w:val="18"/>
    </w:rPr>
  </w:style>
  <w:style w:type="paragraph" w:styleId="4">
    <w:name w:val="footer"/>
    <w:basedOn w:val="1"/>
    <w:link w:val="26"/>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rPr>
      <w:rFonts w:ascii="Times New Roman" w:hAnsi="Times New Roman"/>
      <w:sz w:val="24"/>
      <w:szCs w:val="24"/>
    </w:rPr>
  </w:style>
  <w:style w:type="paragraph" w:styleId="7">
    <w:name w:val="annotation subject"/>
    <w:basedOn w:val="2"/>
    <w:next w:val="2"/>
    <w:link w:val="28"/>
    <w:unhideWhenUsed/>
    <w:qFormat/>
    <w:uiPriority w:val="99"/>
    <w:rPr>
      <w:b/>
      <w:bCs/>
    </w:rPr>
  </w:style>
  <w:style w:type="character" w:styleId="10">
    <w:name w:val="Strong"/>
    <w:basedOn w:val="9"/>
    <w:qFormat/>
    <w:uiPriority w:val="99"/>
    <w:rPr>
      <w:rFonts w:cs="Times New Roman"/>
      <w:b/>
      <w:bCs/>
    </w:rPr>
  </w:style>
  <w:style w:type="character" w:styleId="11">
    <w:name w:val="page number"/>
    <w:basedOn w:val="9"/>
    <w:qFormat/>
    <w:uiPriority w:val="99"/>
    <w:rPr>
      <w:rFonts w:cs="Times New Roman"/>
    </w:rPr>
  </w:style>
  <w:style w:type="character" w:styleId="12">
    <w:name w:val="FollowedHyperlink"/>
    <w:basedOn w:val="9"/>
    <w:semiHidden/>
    <w:unhideWhenUsed/>
    <w:qFormat/>
    <w:uiPriority w:val="99"/>
    <w:rPr>
      <w:color w:val="444444"/>
      <w:u w:val="none"/>
    </w:rPr>
  </w:style>
  <w:style w:type="character" w:styleId="13">
    <w:name w:val="Emphasis"/>
    <w:basedOn w:val="9"/>
    <w:qFormat/>
    <w:locked/>
    <w:uiPriority w:val="0"/>
  </w:style>
  <w:style w:type="character" w:styleId="14">
    <w:name w:val="HTML Definition"/>
    <w:basedOn w:val="9"/>
    <w:semiHidden/>
    <w:unhideWhenUsed/>
    <w:qFormat/>
    <w:uiPriority w:val="99"/>
  </w:style>
  <w:style w:type="character" w:styleId="15">
    <w:name w:val="HTML Typewriter"/>
    <w:basedOn w:val="9"/>
    <w:semiHidden/>
    <w:unhideWhenUsed/>
    <w:qFormat/>
    <w:uiPriority w:val="99"/>
    <w:rPr>
      <w:rFonts w:hint="default" w:ascii="Helvetica" w:hAnsi="Helvetica" w:eastAsia="Helvetica" w:cs="Helvetica"/>
      <w:sz w:val="22"/>
      <w:szCs w:val="22"/>
    </w:rPr>
  </w:style>
  <w:style w:type="character" w:styleId="16">
    <w:name w:val="HTML Variable"/>
    <w:basedOn w:val="9"/>
    <w:semiHidden/>
    <w:unhideWhenUsed/>
    <w:qFormat/>
    <w:uiPriority w:val="99"/>
    <w:rPr>
      <w:rFonts w:hint="default" w:ascii="Helvetica" w:hAnsi="Helvetica" w:eastAsia="Helvetica" w:cs="Helvetica"/>
      <w:i/>
      <w:sz w:val="22"/>
      <w:szCs w:val="22"/>
    </w:rPr>
  </w:style>
  <w:style w:type="character" w:styleId="17">
    <w:name w:val="Hyperlink"/>
    <w:basedOn w:val="9"/>
    <w:semiHidden/>
    <w:unhideWhenUsed/>
    <w:qFormat/>
    <w:uiPriority w:val="99"/>
    <w:rPr>
      <w:color w:val="444444"/>
      <w:u w:val="none"/>
    </w:rPr>
  </w:style>
  <w:style w:type="character" w:styleId="18">
    <w:name w:val="HTML Code"/>
    <w:basedOn w:val="9"/>
    <w:semiHidden/>
    <w:unhideWhenUsed/>
    <w:qFormat/>
    <w:uiPriority w:val="99"/>
    <w:rPr>
      <w:rFonts w:hint="default" w:ascii="Helvetica" w:hAnsi="Helvetica" w:eastAsia="Helvetica" w:cs="Helvetica"/>
      <w:sz w:val="22"/>
      <w:szCs w:val="22"/>
    </w:rPr>
  </w:style>
  <w:style w:type="character" w:styleId="19">
    <w:name w:val="annotation reference"/>
    <w:basedOn w:val="9"/>
    <w:unhideWhenUsed/>
    <w:qFormat/>
    <w:uiPriority w:val="99"/>
    <w:rPr>
      <w:sz w:val="21"/>
      <w:szCs w:val="21"/>
    </w:rPr>
  </w:style>
  <w:style w:type="character" w:styleId="20">
    <w:name w:val="HTML Cite"/>
    <w:basedOn w:val="9"/>
    <w:semiHidden/>
    <w:unhideWhenUsed/>
    <w:qFormat/>
    <w:uiPriority w:val="99"/>
  </w:style>
  <w:style w:type="character" w:styleId="21">
    <w:name w:val="HTML Keyboard"/>
    <w:basedOn w:val="9"/>
    <w:semiHidden/>
    <w:unhideWhenUsed/>
    <w:qFormat/>
    <w:uiPriority w:val="99"/>
    <w:rPr>
      <w:rFonts w:hint="default" w:ascii="Helvetica" w:hAnsi="Helvetica" w:eastAsia="Helvetica" w:cs="Helvetica"/>
      <w:sz w:val="22"/>
      <w:szCs w:val="22"/>
    </w:rPr>
  </w:style>
  <w:style w:type="character" w:styleId="22">
    <w:name w:val="HTML Sample"/>
    <w:basedOn w:val="9"/>
    <w:semiHidden/>
    <w:unhideWhenUsed/>
    <w:qFormat/>
    <w:uiPriority w:val="99"/>
    <w:rPr>
      <w:rFonts w:ascii="Helvetica" w:hAnsi="Helvetica" w:eastAsia="Helvetica" w:cs="Helvetica"/>
      <w:sz w:val="22"/>
      <w:szCs w:val="22"/>
    </w:rPr>
  </w:style>
  <w:style w:type="paragraph" w:customStyle="1" w:styleId="23">
    <w:name w:val="修订1"/>
    <w:hidden/>
    <w:semiHidden/>
    <w:qFormat/>
    <w:uiPriority w:val="99"/>
    <w:pPr>
      <w:spacing w:before="100" w:beforeAutospacing="1" w:line="600" w:lineRule="exact"/>
      <w:ind w:firstLine="50" w:firstLineChars="50"/>
      <w:jc w:val="both"/>
    </w:pPr>
    <w:rPr>
      <w:rFonts w:ascii="Calibri" w:hAnsi="Calibri" w:eastAsia="宋体" w:cs="Times New Roman"/>
      <w:kern w:val="2"/>
      <w:sz w:val="21"/>
      <w:szCs w:val="22"/>
      <w:lang w:val="en-US" w:eastAsia="zh-CN" w:bidi="ar-SA"/>
    </w:rPr>
  </w:style>
  <w:style w:type="character" w:customStyle="1" w:styleId="24">
    <w:name w:val="批注框文本 Char"/>
    <w:basedOn w:val="9"/>
    <w:link w:val="3"/>
    <w:semiHidden/>
    <w:qFormat/>
    <w:locked/>
    <w:uiPriority w:val="99"/>
    <w:rPr>
      <w:rFonts w:cs="Times New Roman"/>
      <w:sz w:val="18"/>
      <w:szCs w:val="18"/>
    </w:rPr>
  </w:style>
  <w:style w:type="character" w:customStyle="1" w:styleId="25">
    <w:name w:val="页眉 Char"/>
    <w:basedOn w:val="9"/>
    <w:link w:val="5"/>
    <w:qFormat/>
    <w:locked/>
    <w:uiPriority w:val="99"/>
    <w:rPr>
      <w:rFonts w:cs="Times New Roman"/>
      <w:sz w:val="18"/>
      <w:szCs w:val="18"/>
    </w:rPr>
  </w:style>
  <w:style w:type="character" w:customStyle="1" w:styleId="26">
    <w:name w:val="页脚 Char"/>
    <w:basedOn w:val="9"/>
    <w:link w:val="4"/>
    <w:qFormat/>
    <w:locked/>
    <w:uiPriority w:val="99"/>
    <w:rPr>
      <w:rFonts w:cs="Times New Roman"/>
      <w:sz w:val="18"/>
      <w:szCs w:val="18"/>
    </w:rPr>
  </w:style>
  <w:style w:type="character" w:customStyle="1" w:styleId="27">
    <w:name w:val="批注文字 Char"/>
    <w:basedOn w:val="9"/>
    <w:link w:val="2"/>
    <w:semiHidden/>
    <w:qFormat/>
    <w:uiPriority w:val="99"/>
    <w:rPr>
      <w:szCs w:val="22"/>
    </w:rPr>
  </w:style>
  <w:style w:type="character" w:customStyle="1" w:styleId="28">
    <w:name w:val="批注主题 Char"/>
    <w:basedOn w:val="27"/>
    <w:link w:val="7"/>
    <w:semiHidden/>
    <w:qFormat/>
    <w:uiPriority w:val="99"/>
    <w:rPr>
      <w:b/>
      <w:bCs/>
    </w:rPr>
  </w:style>
  <w:style w:type="character" w:customStyle="1" w:styleId="29">
    <w:name w:val="on"/>
    <w:basedOn w:val="9"/>
    <w:qFormat/>
    <w:uiPriority w:val="0"/>
    <w:rPr>
      <w:shd w:val="clear" w:fill="FFFFFF"/>
    </w:rPr>
  </w:style>
  <w:style w:type="character" w:customStyle="1" w:styleId="30">
    <w:name w:val="on1"/>
    <w:basedOn w:val="9"/>
    <w:qFormat/>
    <w:uiPriority w:val="0"/>
    <w:rPr>
      <w:shd w:val="clear" w:fill="F5F5F5"/>
    </w:rPr>
  </w:style>
  <w:style w:type="character" w:customStyle="1" w:styleId="31">
    <w:name w:val="span0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64B95-DF8B-4EA7-8A58-A4DF5FE548A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24</Pages>
  <Words>10703</Words>
  <Characters>711</Characters>
  <Lines>5</Lines>
  <Paragraphs>22</Paragraphs>
  <TotalTime>19</TotalTime>
  <ScaleCrop>false</ScaleCrop>
  <LinksUpToDate>false</LinksUpToDate>
  <CharactersWithSpaces>11392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2019-02-18T02:27:00Z</dcterms:created>
  <dc:creator>Windows 用户</dc:creator>
  <cp:lastModifiedBy>Administrator</cp:lastModifiedBy>
  <cp:lastPrinted>2020-03-06T03:51:00Z</cp:lastPrinted>
  <dcterms:modified xsi:type="dcterms:W3CDTF">2020-03-11T08:44:17Z</dcterms:modified>
  <dc:title>关于进一步加强汕头市政府投资房屋建筑和市政公用工程招标投标管理工作的意见</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