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7F" w:rsidRDefault="00F1007F" w:rsidP="00F1007F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F1007F" w:rsidRDefault="00F1007F" w:rsidP="00F1007F">
      <w:pPr>
        <w:spacing w:line="560" w:lineRule="exact"/>
        <w:ind w:firstLineChars="200" w:firstLine="880"/>
        <w:rPr>
          <w:rFonts w:ascii="Times New Roman" w:eastAsia="方正小标宋简体" w:hAnsi="Times New Roman" w:cs="方正小标宋简体" w:hint="eastAsia"/>
          <w:sz w:val="44"/>
          <w:szCs w:val="44"/>
        </w:rPr>
      </w:pPr>
    </w:p>
    <w:p w:rsidR="00F1007F" w:rsidRDefault="00F1007F" w:rsidP="00F1007F">
      <w:pPr>
        <w:spacing w:line="560" w:lineRule="exact"/>
        <w:ind w:firstLineChars="200" w:firstLine="880"/>
        <w:jc w:val="center"/>
        <w:rPr>
          <w:rFonts w:ascii="Times New Roman" w:eastAsia="方正小标宋简体" w:hAnsi="Times New Roman" w:cs="方正小标宋简体" w:hint="eastAsia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广东省旅行社等级划分与评定工作细则（试行）</w:t>
      </w:r>
    </w:p>
    <w:p w:rsidR="00F1007F" w:rsidRDefault="00F1007F" w:rsidP="00F1007F">
      <w:pPr>
        <w:spacing w:line="560" w:lineRule="exact"/>
        <w:ind w:firstLineChars="200" w:firstLine="643"/>
        <w:rPr>
          <w:rFonts w:ascii="Times New Roman" w:eastAsia="仿宋_GB2312" w:hAnsi="Times New Roman" w:cs="仿宋" w:hint="eastAsia"/>
          <w:b/>
          <w:sz w:val="32"/>
          <w:szCs w:val="32"/>
        </w:rPr>
      </w:pPr>
      <w:r>
        <w:rPr>
          <w:rFonts w:ascii="Times New Roman" w:eastAsia="仿宋_GB2312" w:hAnsi="Times New Roman" w:cs="仿宋" w:hint="eastAsia"/>
          <w:b/>
          <w:sz w:val="32"/>
          <w:szCs w:val="32"/>
        </w:rPr>
        <w:t>评分说明：</w:t>
      </w:r>
    </w:p>
    <w:p w:rsidR="00F1007F" w:rsidRDefault="00F1007F" w:rsidP="00F1007F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1</w:t>
      </w:r>
      <w:r>
        <w:rPr>
          <w:rFonts w:ascii="Times New Roman" w:eastAsia="仿宋_GB2312" w:hAnsi="Times New Roman" w:cs="仿宋" w:hint="eastAsia"/>
          <w:sz w:val="32"/>
          <w:szCs w:val="32"/>
        </w:rPr>
        <w:t>、计分表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总分为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200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分（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165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分基本分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+35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分加分项）</w:t>
      </w:r>
      <w:r>
        <w:rPr>
          <w:rFonts w:ascii="Times New Roman" w:eastAsia="仿宋_GB2312" w:hAnsi="Times New Roman" w:cs="仿宋" w:hint="eastAsia"/>
          <w:sz w:val="32"/>
          <w:szCs w:val="32"/>
        </w:rPr>
        <w:t>。其中计分表各大项分值为：经营条件</w:t>
      </w:r>
      <w:r>
        <w:rPr>
          <w:rFonts w:ascii="Times New Roman" w:eastAsia="仿宋_GB2312" w:hAnsi="Times New Roman" w:cs="仿宋" w:hint="eastAsia"/>
          <w:sz w:val="32"/>
          <w:szCs w:val="32"/>
        </w:rPr>
        <w:t>31</w:t>
      </w:r>
      <w:r>
        <w:rPr>
          <w:rFonts w:ascii="Times New Roman" w:eastAsia="仿宋_GB2312" w:hAnsi="Times New Roman" w:cs="仿宋" w:hint="eastAsia"/>
          <w:sz w:val="32"/>
          <w:szCs w:val="32"/>
        </w:rPr>
        <w:t>分，管理能力</w:t>
      </w:r>
      <w:r>
        <w:rPr>
          <w:rFonts w:ascii="Times New Roman" w:eastAsia="仿宋_GB2312" w:hAnsi="Times New Roman" w:cs="仿宋" w:hint="eastAsia"/>
          <w:sz w:val="32"/>
          <w:szCs w:val="32"/>
        </w:rPr>
        <w:t>24</w:t>
      </w:r>
      <w:r>
        <w:rPr>
          <w:rFonts w:ascii="Times New Roman" w:eastAsia="仿宋_GB2312" w:hAnsi="Times New Roman" w:cs="仿宋" w:hint="eastAsia"/>
          <w:sz w:val="32"/>
          <w:szCs w:val="32"/>
        </w:rPr>
        <w:t>分，服务能力</w:t>
      </w:r>
      <w:r>
        <w:rPr>
          <w:rFonts w:ascii="Times New Roman" w:eastAsia="仿宋_GB2312" w:hAnsi="Times New Roman" w:cs="仿宋" w:hint="eastAsia"/>
          <w:sz w:val="32"/>
          <w:szCs w:val="32"/>
        </w:rPr>
        <w:t>51</w:t>
      </w:r>
      <w:r>
        <w:rPr>
          <w:rFonts w:ascii="Times New Roman" w:eastAsia="仿宋_GB2312" w:hAnsi="Times New Roman" w:cs="仿宋" w:hint="eastAsia"/>
          <w:sz w:val="32"/>
          <w:szCs w:val="32"/>
        </w:rPr>
        <w:t>分，质量和安全保证</w:t>
      </w:r>
      <w:r>
        <w:rPr>
          <w:rFonts w:ascii="Times New Roman" w:eastAsia="仿宋_GB2312" w:hAnsi="Times New Roman" w:cs="仿宋" w:hint="eastAsia"/>
          <w:sz w:val="32"/>
          <w:szCs w:val="32"/>
        </w:rPr>
        <w:t>59</w:t>
      </w:r>
      <w:r>
        <w:rPr>
          <w:rFonts w:ascii="Times New Roman" w:eastAsia="仿宋_GB2312" w:hAnsi="Times New Roman" w:cs="仿宋" w:hint="eastAsia"/>
          <w:sz w:val="32"/>
          <w:szCs w:val="32"/>
        </w:rPr>
        <w:t>分，加分项</w:t>
      </w:r>
      <w:r>
        <w:rPr>
          <w:rFonts w:ascii="Times New Roman" w:eastAsia="仿宋_GB2312" w:hAnsi="Times New Roman" w:cs="仿宋" w:hint="eastAsia"/>
          <w:sz w:val="32"/>
          <w:szCs w:val="32"/>
        </w:rPr>
        <w:t>35</w:t>
      </w:r>
      <w:r>
        <w:rPr>
          <w:rFonts w:ascii="Times New Roman" w:eastAsia="仿宋_GB2312" w:hAnsi="Times New Roman" w:cs="仿宋" w:hint="eastAsia"/>
          <w:sz w:val="32"/>
          <w:szCs w:val="32"/>
        </w:rPr>
        <w:t>分。</w:t>
      </w:r>
    </w:p>
    <w:p w:rsidR="00F1007F" w:rsidRDefault="00F1007F" w:rsidP="00F1007F">
      <w:pPr>
        <w:spacing w:line="560" w:lineRule="exact"/>
        <w:ind w:firstLineChars="200" w:firstLine="640"/>
        <w:rPr>
          <w:rFonts w:ascii="Times New Roman" w:eastAsia="仿宋_GB2312" w:hAnsi="Times New Roman" w:cs="仿宋"/>
          <w:b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2</w:t>
      </w:r>
      <w:r>
        <w:rPr>
          <w:rFonts w:ascii="Times New Roman" w:eastAsia="仿宋_GB2312" w:hAnsi="Times New Roman" w:cs="仿宋" w:hint="eastAsia"/>
          <w:sz w:val="32"/>
          <w:szCs w:val="32"/>
        </w:rPr>
        <w:t>、旅行社等级分为五个级别，由低到高分别为</w:t>
      </w:r>
      <w:r>
        <w:rPr>
          <w:rFonts w:ascii="Times New Roman" w:eastAsia="仿宋_GB2312" w:hAnsi="Times New Roman" w:cs="仿宋" w:hint="eastAsia"/>
          <w:sz w:val="32"/>
          <w:szCs w:val="32"/>
        </w:rPr>
        <w:t>A</w:t>
      </w:r>
      <w:r>
        <w:rPr>
          <w:rFonts w:ascii="Times New Roman" w:eastAsia="仿宋_GB2312" w:hAnsi="Times New Roman" w:cs="仿宋" w:hint="eastAsia"/>
          <w:sz w:val="32"/>
          <w:szCs w:val="32"/>
        </w:rPr>
        <w:t>、</w:t>
      </w:r>
      <w:r>
        <w:rPr>
          <w:rFonts w:ascii="Times New Roman" w:eastAsia="仿宋_GB2312" w:hAnsi="Times New Roman" w:cs="仿宋" w:hint="eastAsia"/>
          <w:sz w:val="32"/>
          <w:szCs w:val="32"/>
        </w:rPr>
        <w:t>AA</w:t>
      </w:r>
      <w:r>
        <w:rPr>
          <w:rFonts w:ascii="Times New Roman" w:eastAsia="仿宋_GB2312" w:hAnsi="Times New Roman" w:cs="仿宋" w:hint="eastAsia"/>
          <w:sz w:val="32"/>
          <w:szCs w:val="32"/>
        </w:rPr>
        <w:t>、</w:t>
      </w:r>
      <w:r>
        <w:rPr>
          <w:rFonts w:ascii="Times New Roman" w:eastAsia="仿宋_GB2312" w:hAnsi="Times New Roman" w:cs="仿宋" w:hint="eastAsia"/>
          <w:sz w:val="32"/>
          <w:szCs w:val="32"/>
        </w:rPr>
        <w:t>AAA</w:t>
      </w:r>
      <w:r>
        <w:rPr>
          <w:rFonts w:ascii="Times New Roman" w:eastAsia="仿宋_GB2312" w:hAnsi="Times New Roman" w:cs="仿宋" w:hint="eastAsia"/>
          <w:sz w:val="32"/>
          <w:szCs w:val="32"/>
        </w:rPr>
        <w:t>、</w:t>
      </w:r>
      <w:r>
        <w:rPr>
          <w:rFonts w:ascii="Times New Roman" w:eastAsia="仿宋_GB2312" w:hAnsi="Times New Roman" w:cs="仿宋" w:hint="eastAsia"/>
          <w:sz w:val="32"/>
          <w:szCs w:val="32"/>
        </w:rPr>
        <w:t>AAAA</w:t>
      </w:r>
      <w:r>
        <w:rPr>
          <w:rFonts w:ascii="Times New Roman" w:eastAsia="仿宋_GB2312" w:hAnsi="Times New Roman" w:cs="仿宋" w:hint="eastAsia"/>
          <w:sz w:val="32"/>
          <w:szCs w:val="32"/>
        </w:rPr>
        <w:t>、</w:t>
      </w:r>
      <w:r>
        <w:rPr>
          <w:rFonts w:ascii="Times New Roman" w:eastAsia="仿宋_GB2312" w:hAnsi="Times New Roman" w:cs="仿宋" w:hint="eastAsia"/>
          <w:sz w:val="32"/>
          <w:szCs w:val="32"/>
        </w:rPr>
        <w:t>AAAAA</w:t>
      </w:r>
      <w:r>
        <w:rPr>
          <w:rFonts w:ascii="Times New Roman" w:eastAsia="仿宋_GB2312" w:hAnsi="Times New Roman" w:cs="仿宋" w:hint="eastAsia"/>
          <w:sz w:val="32"/>
          <w:szCs w:val="32"/>
        </w:rPr>
        <w:t>。各等级最低总分要求：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A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83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分（基本分得分率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50%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）；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AA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 xml:space="preserve"> 100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分（基本分得分率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60%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）；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AAA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116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分（基本分得分率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70%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）；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AAAA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132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基本分（基本分得分率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80%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）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+15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分加分；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AAAAA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149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基本分（基本分得分率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90%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）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+20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分加分。</w:t>
      </w:r>
    </w:p>
    <w:p w:rsidR="00F1007F" w:rsidRDefault="00F1007F" w:rsidP="00F1007F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3</w:t>
      </w:r>
      <w:r>
        <w:rPr>
          <w:rFonts w:ascii="Times New Roman" w:eastAsia="仿宋_GB2312" w:hAnsi="Times New Roman" w:cs="仿宋" w:hint="eastAsia"/>
          <w:sz w:val="32"/>
          <w:szCs w:val="32"/>
        </w:rPr>
        <w:t>、各分项只有一个得分项的，由专家查阅材料后根据实际情况给分：各分项存在数个得分项的，除特别说明外，均定档赋分。分项应符合对应得分项等级必备要求</w:t>
      </w:r>
    </w:p>
    <w:p w:rsidR="00F1007F" w:rsidRDefault="00F1007F" w:rsidP="00F1007F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4</w:t>
      </w:r>
      <w:r>
        <w:rPr>
          <w:rFonts w:ascii="Times New Roman" w:eastAsia="仿宋_GB2312" w:hAnsi="Times New Roman" w:cs="仿宋" w:hint="eastAsia"/>
          <w:sz w:val="32"/>
          <w:szCs w:val="32"/>
        </w:rPr>
        <w:t>、迎检企业自备材料证明自评得分。</w:t>
      </w:r>
    </w:p>
    <w:p w:rsidR="00F1007F" w:rsidRDefault="00F1007F" w:rsidP="00F1007F">
      <w:pPr>
        <w:spacing w:line="560" w:lineRule="exact"/>
        <w:ind w:firstLineChars="200" w:firstLine="643"/>
        <w:rPr>
          <w:rFonts w:ascii="Times New Roman" w:eastAsia="仿宋_GB2312" w:hAnsi="Times New Roman" w:cs="仿宋" w:hint="eastAsia"/>
          <w:b/>
          <w:sz w:val="32"/>
          <w:szCs w:val="32"/>
        </w:rPr>
      </w:pPr>
      <w:r>
        <w:rPr>
          <w:rFonts w:ascii="Times New Roman" w:eastAsia="仿宋_GB2312" w:hAnsi="Times New Roman" w:cs="仿宋" w:hint="eastAsia"/>
          <w:b/>
          <w:sz w:val="32"/>
          <w:szCs w:val="32"/>
        </w:rPr>
        <w:t>评定基本条件</w:t>
      </w:r>
      <w:r>
        <w:rPr>
          <w:rFonts w:ascii="Times New Roman" w:eastAsia="仿宋_GB2312" w:hAnsi="Times New Roman" w:cs="仿宋" w:hint="eastAsia"/>
          <w:b/>
          <w:sz w:val="32"/>
          <w:szCs w:val="32"/>
          <w:vertAlign w:val="superscript"/>
        </w:rPr>
        <w:t>1</w:t>
      </w:r>
      <w:r>
        <w:rPr>
          <w:rFonts w:ascii="Times New Roman" w:eastAsia="仿宋_GB2312" w:hAnsi="Times New Roman" w:cs="仿宋" w:hint="eastAsia"/>
          <w:b/>
          <w:sz w:val="32"/>
          <w:szCs w:val="32"/>
        </w:rPr>
        <w:t>：</w:t>
      </w:r>
    </w:p>
    <w:p w:rsidR="00F1007F" w:rsidRDefault="00F1007F" w:rsidP="00F1007F">
      <w:pPr>
        <w:spacing w:line="560" w:lineRule="exact"/>
        <w:ind w:firstLineChars="200" w:firstLine="640"/>
        <w:rPr>
          <w:rFonts w:ascii="Times New Roman" w:eastAsia="仿宋_GB2312" w:hAnsi="Times New Roman" w:cs="仿宋" w:hint="eastAsia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lastRenderedPageBreak/>
        <w:t>1</w:t>
      </w:r>
      <w:r>
        <w:rPr>
          <w:rFonts w:ascii="Times New Roman" w:eastAsia="仿宋_GB2312" w:hAnsi="Times New Roman" w:cs="仿宋" w:hint="eastAsia"/>
          <w:sz w:val="32"/>
          <w:szCs w:val="32"/>
        </w:rPr>
        <w:t>、依法设立且已经正式开展旅行社业务应不少于</w:t>
      </w:r>
      <w:r>
        <w:rPr>
          <w:rFonts w:ascii="Times New Roman" w:eastAsia="仿宋_GB2312" w:hAnsi="Times New Roman" w:cs="仿宋" w:hint="eastAsia"/>
          <w:sz w:val="32"/>
          <w:szCs w:val="32"/>
        </w:rPr>
        <w:t>2</w:t>
      </w:r>
      <w:r>
        <w:rPr>
          <w:rFonts w:ascii="Times New Roman" w:eastAsia="仿宋_GB2312" w:hAnsi="Times New Roman" w:cs="仿宋" w:hint="eastAsia"/>
          <w:sz w:val="32"/>
          <w:szCs w:val="32"/>
        </w:rPr>
        <w:t>年：</w:t>
      </w:r>
    </w:p>
    <w:p w:rsidR="00F1007F" w:rsidRDefault="00F1007F" w:rsidP="00F1007F">
      <w:pPr>
        <w:spacing w:line="560" w:lineRule="exact"/>
        <w:ind w:firstLineChars="200" w:firstLine="640"/>
        <w:rPr>
          <w:rFonts w:ascii="Times New Roman" w:eastAsia="仿宋_GB2312" w:hAnsi="Times New Roman" w:cs="仿宋" w:hint="eastAsia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2</w:t>
      </w:r>
      <w:r>
        <w:rPr>
          <w:rFonts w:ascii="Times New Roman" w:eastAsia="仿宋_GB2312" w:hAnsi="Times New Roman" w:cs="仿宋" w:hint="eastAsia"/>
          <w:sz w:val="32"/>
          <w:szCs w:val="32"/>
        </w:rPr>
        <w:t>、两年内未发生重大以上级别事故，即</w:t>
      </w:r>
      <w:r>
        <w:rPr>
          <w:rFonts w:ascii="Times New Roman" w:eastAsia="仿宋_GB2312" w:hAnsi="Times New Roman" w:cs="仿宋" w:hint="eastAsia"/>
          <w:sz w:val="32"/>
          <w:szCs w:val="32"/>
        </w:rPr>
        <w:t>10</w:t>
      </w:r>
      <w:r>
        <w:rPr>
          <w:rFonts w:ascii="Times New Roman" w:eastAsia="仿宋_GB2312" w:hAnsi="Times New Roman" w:cs="仿宋" w:hint="eastAsia"/>
          <w:sz w:val="32"/>
          <w:szCs w:val="32"/>
        </w:rPr>
        <w:t>人以上死亡，或者</w:t>
      </w:r>
      <w:r>
        <w:rPr>
          <w:rFonts w:ascii="Times New Roman" w:eastAsia="仿宋_GB2312" w:hAnsi="Times New Roman" w:cs="仿宋" w:hint="eastAsia"/>
          <w:sz w:val="32"/>
          <w:szCs w:val="32"/>
        </w:rPr>
        <w:t>50</w:t>
      </w:r>
      <w:r>
        <w:rPr>
          <w:rFonts w:ascii="Times New Roman" w:eastAsia="仿宋_GB2312" w:hAnsi="Times New Roman" w:cs="仿宋" w:hint="eastAsia"/>
          <w:sz w:val="32"/>
          <w:szCs w:val="32"/>
        </w:rPr>
        <w:t>人以上重伤，或者</w:t>
      </w:r>
      <w:r>
        <w:rPr>
          <w:rFonts w:ascii="Times New Roman" w:eastAsia="仿宋_GB2312" w:hAnsi="Times New Roman" w:cs="仿宋" w:hint="eastAsia"/>
          <w:sz w:val="32"/>
          <w:szCs w:val="32"/>
        </w:rPr>
        <w:t>5000</w:t>
      </w:r>
      <w:r>
        <w:rPr>
          <w:rFonts w:ascii="Times New Roman" w:eastAsia="仿宋_GB2312" w:hAnsi="Times New Roman" w:cs="仿宋" w:hint="eastAsia"/>
          <w:sz w:val="32"/>
          <w:szCs w:val="32"/>
        </w:rPr>
        <w:t>万元以上直接经济损失的（以上包含本数）；</w:t>
      </w:r>
    </w:p>
    <w:p w:rsidR="00F1007F" w:rsidRDefault="00F1007F" w:rsidP="00F1007F">
      <w:pPr>
        <w:spacing w:line="560" w:lineRule="exact"/>
        <w:ind w:firstLineChars="200" w:firstLine="640"/>
        <w:rPr>
          <w:rFonts w:ascii="Times New Roman" w:eastAsia="仿宋_GB2312" w:hAnsi="Times New Roman" w:cs="仿宋" w:hint="eastAsia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3</w:t>
      </w:r>
      <w:r>
        <w:rPr>
          <w:rFonts w:ascii="Times New Roman" w:eastAsia="仿宋_GB2312" w:hAnsi="Times New Roman" w:cs="仿宋" w:hint="eastAsia"/>
          <w:sz w:val="32"/>
          <w:szCs w:val="32"/>
        </w:rPr>
        <w:t>、两年内发生安全事故有按规定及时报告并积极配合救援和善后处理（以安全管理部门出具的《安全事故调查书》所载内容或旅游行政管理部门及</w:t>
      </w:r>
      <w:proofErr w:type="gramStart"/>
      <w:r>
        <w:rPr>
          <w:rFonts w:ascii="Times New Roman" w:eastAsia="仿宋_GB2312" w:hAnsi="Times New Roman" w:cs="仿宋" w:hint="eastAsia"/>
          <w:sz w:val="32"/>
          <w:szCs w:val="32"/>
        </w:rPr>
        <w:t>旅责险</w:t>
      </w:r>
      <w:proofErr w:type="gramEnd"/>
      <w:r>
        <w:rPr>
          <w:rFonts w:ascii="Times New Roman" w:eastAsia="仿宋_GB2312" w:hAnsi="Times New Roman" w:cs="仿宋" w:hint="eastAsia"/>
          <w:sz w:val="32"/>
          <w:szCs w:val="32"/>
        </w:rPr>
        <w:t>赔付部门的意见为准）；</w:t>
      </w:r>
    </w:p>
    <w:p w:rsidR="00F1007F" w:rsidRDefault="00F1007F" w:rsidP="00F1007F">
      <w:pPr>
        <w:spacing w:line="560" w:lineRule="exact"/>
        <w:ind w:firstLineChars="200" w:firstLine="640"/>
        <w:rPr>
          <w:rFonts w:ascii="Times New Roman" w:eastAsia="仿宋_GB2312" w:hAnsi="Times New Roman" w:cs="仿宋" w:hint="eastAsia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4</w:t>
      </w:r>
      <w:r>
        <w:rPr>
          <w:rFonts w:ascii="Times New Roman" w:eastAsia="仿宋_GB2312" w:hAnsi="Times New Roman" w:cs="仿宋" w:hint="eastAsia"/>
          <w:sz w:val="32"/>
          <w:szCs w:val="32"/>
        </w:rPr>
        <w:t>、两年内未受到罚款以上行政处罚（以信用中国</w:t>
      </w:r>
      <w:proofErr w:type="spellStart"/>
      <w:r>
        <w:rPr>
          <w:rFonts w:ascii="Times New Roman" w:eastAsia="仿宋_GB2312" w:hAnsi="Times New Roman" w:cs="仿宋" w:hint="eastAsia"/>
          <w:sz w:val="32"/>
          <w:szCs w:val="32"/>
        </w:rPr>
        <w:t>hts</w:t>
      </w:r>
      <w:proofErr w:type="spellEnd"/>
      <w:r>
        <w:rPr>
          <w:rFonts w:ascii="Times New Roman" w:eastAsia="仿宋_GB2312" w:hAnsi="Times New Roman" w:cs="仿宋" w:hint="eastAsia"/>
          <w:sz w:val="32"/>
          <w:szCs w:val="32"/>
        </w:rPr>
        <w:t>：</w:t>
      </w:r>
      <w:r>
        <w:rPr>
          <w:rFonts w:ascii="Times New Roman" w:eastAsia="仿宋_GB2312" w:hAnsi="Times New Roman" w:cs="仿宋" w:hint="eastAsia"/>
          <w:sz w:val="32"/>
          <w:szCs w:val="32"/>
        </w:rPr>
        <w:t>//</w:t>
      </w:r>
      <w:proofErr w:type="spellStart"/>
      <w:r>
        <w:rPr>
          <w:rFonts w:ascii="Times New Roman" w:eastAsia="仿宋_GB2312" w:hAnsi="Times New Roman" w:cs="仿宋" w:hint="eastAsia"/>
          <w:sz w:val="32"/>
          <w:szCs w:val="32"/>
        </w:rPr>
        <w:t>wwcredichina</w:t>
      </w:r>
      <w:proofErr w:type="spellEnd"/>
      <w:r>
        <w:rPr>
          <w:rFonts w:ascii="Times New Roman" w:eastAsia="仿宋_GB2312" w:hAnsi="Times New Roman" w:cs="仿宋" w:hint="eastAsia"/>
          <w:sz w:val="32"/>
          <w:szCs w:val="32"/>
        </w:rPr>
        <w:t xml:space="preserve"> gov.cn/</w:t>
      </w:r>
      <w:r>
        <w:rPr>
          <w:rFonts w:ascii="Times New Roman" w:eastAsia="仿宋_GB2312" w:hAnsi="Times New Roman" w:cs="仿宋" w:hint="eastAsia"/>
          <w:sz w:val="32"/>
          <w:szCs w:val="32"/>
        </w:rPr>
        <w:t>数据为准）；</w:t>
      </w:r>
    </w:p>
    <w:p w:rsidR="00F1007F" w:rsidRDefault="00F1007F" w:rsidP="00F1007F">
      <w:pPr>
        <w:spacing w:line="560" w:lineRule="exact"/>
        <w:ind w:firstLineChars="200" w:firstLine="640"/>
        <w:rPr>
          <w:rFonts w:ascii="Times New Roman" w:eastAsia="仿宋_GB2312" w:hAnsi="Times New Roman" w:cs="仿宋" w:hint="eastAsia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5</w:t>
      </w:r>
      <w:r>
        <w:rPr>
          <w:rFonts w:ascii="Times New Roman" w:eastAsia="仿宋_GB2312" w:hAnsi="Times New Roman" w:cs="仿宋" w:hint="eastAsia"/>
          <w:sz w:val="32"/>
          <w:szCs w:val="32"/>
        </w:rPr>
        <w:t>、两年内未出现投诉理赔需要使用质量保证金的情形</w:t>
      </w:r>
      <w:r>
        <w:rPr>
          <w:rFonts w:ascii="Times New Roman" w:eastAsia="仿宋_GB2312" w:hAnsi="Times New Roman" w:cs="仿宋" w:hint="eastAsia"/>
          <w:sz w:val="32"/>
          <w:szCs w:val="32"/>
          <w:vertAlign w:val="superscript"/>
        </w:rPr>
        <w:t>2</w:t>
      </w:r>
      <w:r>
        <w:rPr>
          <w:rFonts w:ascii="Times New Roman" w:eastAsia="仿宋_GB2312" w:hAnsi="Times New Roman" w:cs="仿宋" w:hint="eastAsia"/>
          <w:sz w:val="32"/>
          <w:szCs w:val="32"/>
        </w:rPr>
        <w:t>：</w:t>
      </w:r>
    </w:p>
    <w:p w:rsidR="00F1007F" w:rsidRDefault="00F1007F" w:rsidP="00F1007F">
      <w:pPr>
        <w:spacing w:line="560" w:lineRule="exact"/>
        <w:ind w:firstLineChars="200" w:firstLine="640"/>
        <w:rPr>
          <w:rFonts w:ascii="Times New Roman" w:eastAsia="仿宋_GB2312" w:hAnsi="Times New Roman" w:cs="仿宋" w:hint="eastAsia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6</w:t>
      </w:r>
      <w:r>
        <w:rPr>
          <w:rFonts w:ascii="Times New Roman" w:eastAsia="仿宋_GB2312" w:hAnsi="Times New Roman" w:cs="仿宋" w:hint="eastAsia"/>
          <w:sz w:val="32"/>
          <w:szCs w:val="32"/>
        </w:rPr>
        <w:t>、两年内未有连续六个月不开展旅行社业务（疫情原因暂停业务除外，停业时间以政府发布通知为准）；</w:t>
      </w:r>
    </w:p>
    <w:p w:rsidR="00F1007F" w:rsidRDefault="00F1007F" w:rsidP="00F1007F">
      <w:pPr>
        <w:spacing w:line="56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7</w:t>
      </w:r>
      <w:r>
        <w:rPr>
          <w:rFonts w:ascii="Times New Roman" w:eastAsia="仿宋_GB2312" w:hAnsi="Times New Roman" w:cs="仿宋" w:hint="eastAsia"/>
          <w:sz w:val="32"/>
          <w:szCs w:val="32"/>
        </w:rPr>
        <w:t>、两年内未发生政治安全事件及其他严重侵犯国家利益事件。</w:t>
      </w:r>
    </w:p>
    <w:p w:rsidR="00F1007F" w:rsidRDefault="00F1007F" w:rsidP="00F1007F">
      <w:pPr>
        <w:spacing w:line="560" w:lineRule="exact"/>
        <w:ind w:firstLineChars="200" w:firstLine="480"/>
        <w:rPr>
          <w:rFonts w:ascii="Times New Roman" w:eastAsia="仿宋_GB2312" w:hAnsi="Times New Roman" w:cs="仿宋"/>
          <w:sz w:val="24"/>
        </w:rPr>
      </w:pPr>
    </w:p>
    <w:p w:rsidR="00F1007F" w:rsidRDefault="00F1007F" w:rsidP="00F1007F">
      <w:pPr>
        <w:spacing w:line="560" w:lineRule="exact"/>
        <w:ind w:firstLineChars="200" w:firstLine="480"/>
        <w:rPr>
          <w:rFonts w:ascii="Times New Roman" w:eastAsia="仿宋_GB2312" w:hAnsi="Times New Roman" w:cs="仿宋"/>
          <w:sz w:val="24"/>
        </w:rPr>
      </w:pPr>
      <w:r>
        <w:rPr>
          <w:rFonts w:ascii="Times New Roman" w:eastAsia="仿宋_GB2312" w:hAnsi="Times New Roman" w:cs="仿宋" w:hint="eastAsia"/>
          <w:sz w:val="24"/>
        </w:rPr>
        <w:t>注：</w:t>
      </w:r>
      <w:r>
        <w:rPr>
          <w:rFonts w:ascii="Times New Roman" w:eastAsia="仿宋_GB2312" w:hAnsi="Times New Roman" w:cs="仿宋" w:hint="eastAsia"/>
          <w:sz w:val="24"/>
        </w:rPr>
        <w:t>1</w:t>
      </w:r>
      <w:r>
        <w:rPr>
          <w:rFonts w:ascii="Times New Roman" w:eastAsia="仿宋_GB2312" w:hAnsi="Times New Roman" w:cs="仿宋" w:hint="eastAsia"/>
          <w:sz w:val="24"/>
        </w:rPr>
        <w:t>、除特别注明外，以</w:t>
      </w:r>
      <w:r>
        <w:rPr>
          <w:rFonts w:ascii="Times New Roman" w:eastAsia="仿宋_GB2312" w:hAnsi="Times New Roman" w:cs="仿宋" w:hint="eastAsia"/>
          <w:sz w:val="24"/>
        </w:rPr>
        <w:t>2018</w:t>
      </w:r>
      <w:r>
        <w:rPr>
          <w:rFonts w:ascii="Times New Roman" w:eastAsia="仿宋_GB2312" w:hAnsi="Times New Roman" w:cs="仿宋" w:hint="eastAsia"/>
          <w:sz w:val="24"/>
        </w:rPr>
        <w:t>年及</w:t>
      </w:r>
      <w:r>
        <w:rPr>
          <w:rFonts w:ascii="Times New Roman" w:eastAsia="仿宋_GB2312" w:hAnsi="Times New Roman" w:cs="仿宋" w:hint="eastAsia"/>
          <w:sz w:val="24"/>
        </w:rPr>
        <w:t>2019</w:t>
      </w:r>
      <w:r>
        <w:rPr>
          <w:rFonts w:ascii="Times New Roman" w:eastAsia="仿宋_GB2312" w:hAnsi="Times New Roman" w:cs="仿宋" w:hint="eastAsia"/>
          <w:sz w:val="24"/>
        </w:rPr>
        <w:t>年数据为参考依据。</w:t>
      </w:r>
    </w:p>
    <w:p w:rsidR="00F1007F" w:rsidRDefault="00F1007F" w:rsidP="00F1007F">
      <w:pPr>
        <w:numPr>
          <w:ilvl w:val="0"/>
          <w:numId w:val="1"/>
        </w:numPr>
        <w:spacing w:line="560" w:lineRule="exact"/>
        <w:ind w:firstLineChars="400" w:firstLine="960"/>
        <w:rPr>
          <w:rFonts w:ascii="Times New Roman" w:eastAsia="仿宋_GB2312" w:hAnsi="Times New Roman" w:cs="仿宋" w:hint="eastAsia"/>
          <w:sz w:val="24"/>
        </w:rPr>
      </w:pPr>
      <w:r>
        <w:rPr>
          <w:rFonts w:ascii="Times New Roman" w:eastAsia="仿宋_GB2312" w:hAnsi="Times New Roman" w:cs="仿宋" w:hint="eastAsia"/>
          <w:sz w:val="24"/>
        </w:rPr>
        <w:t>质量保证金使用情况可见广东省文化和旅游</w:t>
      </w:r>
      <w:proofErr w:type="gramStart"/>
      <w:r>
        <w:rPr>
          <w:rFonts w:ascii="Times New Roman" w:eastAsia="仿宋_GB2312" w:hAnsi="Times New Roman" w:cs="仿宋" w:hint="eastAsia"/>
          <w:sz w:val="24"/>
        </w:rPr>
        <w:t>厅文化</w:t>
      </w:r>
      <w:proofErr w:type="gramEnd"/>
      <w:r>
        <w:rPr>
          <w:rFonts w:ascii="Times New Roman" w:eastAsia="仿宋_GB2312" w:hAnsi="Times New Roman" w:cs="仿宋" w:hint="eastAsia"/>
          <w:sz w:val="24"/>
        </w:rPr>
        <w:t>市场综合执法监督</w:t>
      </w:r>
      <w:proofErr w:type="gramStart"/>
      <w:r>
        <w:rPr>
          <w:rFonts w:ascii="Times New Roman" w:eastAsia="仿宋_GB2312" w:hAnsi="Times New Roman" w:cs="仿宋" w:hint="eastAsia"/>
          <w:sz w:val="24"/>
        </w:rPr>
        <w:t>处旅游</w:t>
      </w:r>
      <w:proofErr w:type="gramEnd"/>
      <w:r>
        <w:rPr>
          <w:rFonts w:ascii="Times New Roman" w:eastAsia="仿宋_GB2312" w:hAnsi="Times New Roman" w:cs="仿宋" w:hint="eastAsia"/>
          <w:sz w:val="24"/>
        </w:rPr>
        <w:t>投诉情况的季度通报，具体详见广东省</w:t>
      </w:r>
      <w:proofErr w:type="gramStart"/>
      <w:r>
        <w:rPr>
          <w:rFonts w:ascii="Times New Roman" w:eastAsia="仿宋_GB2312" w:hAnsi="Times New Roman" w:cs="仿宋" w:hint="eastAsia"/>
          <w:sz w:val="24"/>
        </w:rPr>
        <w:t>文旅厅官网</w:t>
      </w:r>
      <w:proofErr w:type="gramEnd"/>
      <w:r>
        <w:rPr>
          <w:rFonts w:ascii="Times New Roman" w:eastAsia="仿宋_GB2312" w:hAnsi="Times New Roman" w:cs="仿宋" w:hint="eastAsia"/>
          <w:sz w:val="24"/>
        </w:rPr>
        <w:t>“政务公开数据发布</w:t>
      </w:r>
      <w:r>
        <w:rPr>
          <w:rFonts w:ascii="Times New Roman" w:eastAsia="仿宋_GB2312" w:hAnsi="Times New Roman" w:cs="仿宋" w:hint="eastAsia"/>
          <w:sz w:val="24"/>
        </w:rPr>
        <w:t>-</w:t>
      </w:r>
      <w:r>
        <w:rPr>
          <w:rFonts w:ascii="Times New Roman" w:eastAsia="仿宋_GB2312" w:hAnsi="Times New Roman" w:cs="仿宋" w:hint="eastAsia"/>
          <w:sz w:val="24"/>
        </w:rPr>
        <w:t>旅游投诉专栏</w:t>
      </w:r>
      <w:r>
        <w:rPr>
          <w:rFonts w:ascii="Times New Roman" w:eastAsia="仿宋_GB2312" w:hAnsi="Times New Roman" w:cs="仿宋" w:hint="eastAsia"/>
          <w:sz w:val="24"/>
        </w:rPr>
        <w:t>-</w:t>
      </w:r>
      <w:r>
        <w:rPr>
          <w:rFonts w:ascii="Times New Roman" w:eastAsia="仿宋_GB2312" w:hAnsi="Times New Roman" w:cs="仿宋" w:hint="eastAsia"/>
          <w:sz w:val="24"/>
        </w:rPr>
        <w:t>数据说</w:t>
      </w:r>
      <w:r>
        <w:rPr>
          <w:rFonts w:ascii="Times New Roman" w:eastAsia="仿宋_GB2312" w:hAnsi="Times New Roman" w:cs="仿宋" w:hint="eastAsia"/>
          <w:sz w:val="24"/>
        </w:rPr>
        <w:t>"</w:t>
      </w:r>
      <w:r>
        <w:rPr>
          <w:rFonts w:ascii="Times New Roman" w:eastAsia="仿宋_GB2312" w:hAnsi="Times New Roman" w:cs="仿宋" w:hint="eastAsia"/>
          <w:sz w:val="24"/>
        </w:rPr>
        <w:t>评定日上一季度的季度通报还未更新时，可参考离评定日最接近的季度通报。</w:t>
      </w:r>
    </w:p>
    <w:p w:rsidR="00F1007F" w:rsidRDefault="00F1007F" w:rsidP="00F1007F">
      <w:pPr>
        <w:spacing w:line="560" w:lineRule="exact"/>
        <w:rPr>
          <w:rFonts w:ascii="Times New Roman" w:eastAsia="仿宋_GB2312" w:hAnsi="Times New Roman" w:cs="仿宋" w:hint="eastAsia"/>
          <w:sz w:val="24"/>
        </w:rPr>
      </w:pPr>
    </w:p>
    <w:tbl>
      <w:tblPr>
        <w:tblStyle w:val="a9"/>
        <w:tblW w:w="0" w:type="auto"/>
        <w:tblInd w:w="0" w:type="dxa"/>
        <w:tblLayout w:type="fixed"/>
        <w:tblLook w:val="0000"/>
      </w:tblPr>
      <w:tblGrid>
        <w:gridCol w:w="817"/>
        <w:gridCol w:w="10206"/>
        <w:gridCol w:w="709"/>
        <w:gridCol w:w="709"/>
        <w:gridCol w:w="850"/>
        <w:gridCol w:w="883"/>
      </w:tblGrid>
      <w:tr w:rsidR="00F1007F" w:rsidTr="000E420C">
        <w:trPr>
          <w:trHeight w:val="2640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评定项目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大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企业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自评</w:t>
            </w:r>
          </w:p>
          <w:p w:rsidR="00F1007F" w:rsidRDefault="00F1007F" w:rsidP="000E420C">
            <w:pPr>
              <w:pStyle w:val="a8"/>
              <w:spacing w:line="500" w:lineRule="exact"/>
              <w:ind w:firstLineChars="350" w:firstLine="984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机构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评分</w:t>
            </w: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经营条件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1.1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资产总额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应不少于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万元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应不少于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万元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应不少于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100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万元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应不少于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万元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应不少于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1000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万元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1.2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经营场所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595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自有或租赁期限不少于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年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3270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评定项目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大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企业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自评</w:t>
            </w:r>
          </w:p>
          <w:p w:rsidR="00F1007F" w:rsidRDefault="00F1007F" w:rsidP="000E420C">
            <w:pPr>
              <w:pStyle w:val="a8"/>
              <w:spacing w:line="500" w:lineRule="exact"/>
              <w:ind w:firstLineChars="350" w:firstLine="984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机构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评分</w:t>
            </w: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自有或租赁期限不少于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年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自有或租赁期限不少于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年，面积（含非独立法人机构）不少于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200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㎡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自有或租赁期限不少于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年，面积（含非独立法人机构）不少于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300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㎡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自有或租赁期限不少于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年，面积（含非独立法人机构）不少于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500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㎡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1.3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签订劳动合同在职人员（含非独立法人机构签订正式劳动合同人员等）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10-50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（含）人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51-150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（含）人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151-300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（含）人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301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人以上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3300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评定项目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大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企业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自评</w:t>
            </w:r>
          </w:p>
          <w:p w:rsidR="00F1007F" w:rsidRDefault="00F1007F" w:rsidP="000E420C">
            <w:pPr>
              <w:pStyle w:val="a8"/>
              <w:spacing w:line="500" w:lineRule="exact"/>
              <w:ind w:firstLineChars="350" w:firstLine="984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机构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评分</w:t>
            </w: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1.4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导游证持证人</w:t>
            </w:r>
            <w:proofErr w:type="gramStart"/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员比例</w:t>
            </w:r>
            <w:proofErr w:type="gramEnd"/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占在职人员总数比例应不低于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20%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占在职人员总数比例应不低于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30%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1.5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参与协会工作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县区级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地市级旅游行业协会会员单位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省级旅游行业协会会员单位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国家级旅游行业协会会员单位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管理能力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2.1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管理制度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2700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评定项目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大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企业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自评</w:t>
            </w:r>
          </w:p>
          <w:p w:rsidR="00F1007F" w:rsidRDefault="00F1007F" w:rsidP="000E420C">
            <w:pPr>
              <w:pStyle w:val="a8"/>
              <w:spacing w:line="500" w:lineRule="exact"/>
              <w:ind w:firstLineChars="350" w:firstLine="984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机构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评分</w:t>
            </w: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基本健全。人力资源管理、财务管理、合同管理、服务质量管理、安全生产管理、突发事件应急处理、用车管理、供应商管理（准入、评价与退出）、品牌管理、导游领队管理等制度齐全，部门及</w:t>
            </w:r>
            <w:proofErr w:type="gramStart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岗位职贵分工</w:t>
            </w:r>
            <w:proofErr w:type="gramEnd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明确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健全且有效。人力资源管理、财务管理、合同管理、服务质量管理、安全生产管理、突发事件应急处理、用车管理、供应商管理（准入、评价与退出）、品牌管理、导游领队管理等制度齐全，部门及岗位职责分工明确，门</w:t>
            </w:r>
            <w:proofErr w:type="gramStart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店按照</w:t>
            </w:r>
            <w:proofErr w:type="gramEnd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四个统一（标识、产品、财务、联网销售）进行管理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1775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 w:hint="eastAsia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建立有健全、标准化、具体有效的人力资源管理、财务管理、合同管理、服务质量管理、安全生产管理、突发事件应急处理、用车管理、供应商管理（准入、评价与退出）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2940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评定项目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大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企业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自评</w:t>
            </w:r>
          </w:p>
          <w:p w:rsidR="00F1007F" w:rsidRDefault="00F1007F" w:rsidP="000E420C">
            <w:pPr>
              <w:pStyle w:val="a8"/>
              <w:spacing w:line="500" w:lineRule="exact"/>
              <w:ind w:firstLineChars="350" w:firstLine="984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机构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评分</w:t>
            </w: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品牌管理、导游领队管理等制度，门</w:t>
            </w:r>
            <w:proofErr w:type="gramStart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店按照</w:t>
            </w:r>
            <w:proofErr w:type="gramEnd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四个统一（标识、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产品、财务、联网销售）进行管理，并有效贯彻执行。有制定年度总体发展计划、年度营销计划及中长期发展战略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2.2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签订正式劳动合同情况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与员工签订规范的劳动合同并建立合法的劳动关系，为员工缴纳社会保险费，支付不低于当地最低工资标准的工资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1480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与员工签订规范的劳动合同并建立合法的劳动关系，为员工缴纳社会保险费，支付不低于当地最低工资标准的工资。实行合同管理制度，劳资档案规范、保存完好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2.3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培训（含面授、在线教学）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2900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评定项目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大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企业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自评</w:t>
            </w:r>
          </w:p>
          <w:p w:rsidR="00F1007F" w:rsidRDefault="00F1007F" w:rsidP="000E420C">
            <w:pPr>
              <w:pStyle w:val="a8"/>
              <w:spacing w:line="500" w:lineRule="exact"/>
              <w:ind w:firstLineChars="350" w:firstLine="984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机构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评分</w:t>
            </w: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有提供培训，在职员工每年培训时间应不少于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40h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，培训记录详尽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有提供培训，并具备专门制度，安排专项培训经费预算，培训记录、宣传资料等内容丰富、可操作性强，在职员工每年培训时间应不少于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48h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有提供培训，并具备专门制度，安排专项培训经费预算，培训记录、宣传资料等内容丰富、可操作性强，在职员工每年培训时间应不少于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60 h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2.4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政治理论、政策法规、安全知识学习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每年组织员工参加但不限于政治理论、国家安全、政策法规、安全生产等学习不少于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6h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每年组织员工参加但不限于政治理论、国家安全、政策法规、安全生产等学习不少于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8h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3100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评定项目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大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企业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自评</w:t>
            </w:r>
          </w:p>
          <w:p w:rsidR="00F1007F" w:rsidRDefault="00F1007F" w:rsidP="000E420C">
            <w:pPr>
              <w:pStyle w:val="a8"/>
              <w:spacing w:line="500" w:lineRule="exact"/>
              <w:ind w:firstLineChars="350" w:firstLine="984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机构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评分</w:t>
            </w: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服务能力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51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3.1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服务种类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提供咨询服务，并提供交通票</w:t>
            </w:r>
            <w:proofErr w:type="gramStart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、住房等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种代理服务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提供咨询服务，并提供交通票</w:t>
            </w:r>
            <w:proofErr w:type="gramStart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、住房、交通等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种以上代理服务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提供咨询服务，并提供交通票</w:t>
            </w:r>
            <w:proofErr w:type="gramStart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、住房、交通、展会、培训等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种以上代理委托就服务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625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3.2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经营总额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旅行社年营业额应不低于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亿人民币，且经营利润无出现亏损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610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旅行社年营业额应不低于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亿人民币，且经营利润无出现亏损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2790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评定项目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大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企业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自评</w:t>
            </w:r>
          </w:p>
          <w:p w:rsidR="00F1007F" w:rsidRDefault="00F1007F" w:rsidP="000E420C">
            <w:pPr>
              <w:pStyle w:val="a8"/>
              <w:spacing w:line="500" w:lineRule="exact"/>
              <w:ind w:firstLineChars="350" w:firstLine="984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机构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评分</w:t>
            </w: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旅行社年营业额应不低于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亿人民币，且经营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利润无出现亏损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3.3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服务网点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宜有门市部等服务网点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3-10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（含）家以上服务网点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11-20 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（含）家以上服务网点。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有分社或代理招徕机构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家以上服务网点。宜有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家以上分社或代理招徕机构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3.4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办公设备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1470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除外勤岗位外，办公电脑普及率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100%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，并具备旅行社团队管理服务系统等信息化的管理和服务系统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2715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评定项目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大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企业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自评</w:t>
            </w:r>
          </w:p>
          <w:p w:rsidR="00F1007F" w:rsidRDefault="00F1007F" w:rsidP="000E420C">
            <w:pPr>
              <w:pStyle w:val="a8"/>
              <w:spacing w:line="500" w:lineRule="exact"/>
              <w:ind w:firstLineChars="350" w:firstLine="984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机构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评分</w:t>
            </w:r>
          </w:p>
        </w:tc>
      </w:tr>
      <w:tr w:rsidR="00F1007F" w:rsidTr="000E420C">
        <w:trPr>
          <w:trHeight w:val="1245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除外勤岗位外，办公电脑普及率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100%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，并具备旅行社团队管理服务系统等信息化的管理和服务系统，及时准确填报全国旅游监管服务平台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3.5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合同内容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1445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旅游合同中线路、计划、价格明确，且无违反法律法规的内容，旅游合同填写规范，行程和景点、交通、住宿、餐饮、购物等项目具体明确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旅游合同中线路、计划、价格明确，旅游接待计划规范、详细，依据明确，且无违反法律法规的内容，旅游合同填写规范，行程和景点、交通、住宿、餐饮、购物等项目具体明确</w:t>
            </w:r>
          </w:p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2985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评定项目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大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企业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自评</w:t>
            </w:r>
          </w:p>
          <w:p w:rsidR="00F1007F" w:rsidRDefault="00F1007F" w:rsidP="000E420C">
            <w:pPr>
              <w:pStyle w:val="a8"/>
              <w:spacing w:line="500" w:lineRule="exact"/>
              <w:ind w:firstLineChars="350" w:firstLine="984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机构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评分</w:t>
            </w: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3.6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企业自有品牌标识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1295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应有企业标识和产品品牌标识（包括使用其他企业的），应有一个地市级机构评选的品牌或商标称号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应有企业标识和产品品牌标识（包括使用其他企业的），应有一个省级机构评选的品牌或商标称号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应有企业标识和产品品牌标识（包括使用其他企业的），应有一个国家级机构评选的品牌或商标称号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3.7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企业新媒体建设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具有一级域名的企业网站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2835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评定项目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大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企业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自评</w:t>
            </w:r>
          </w:p>
          <w:p w:rsidR="00F1007F" w:rsidRDefault="00F1007F" w:rsidP="000E420C">
            <w:pPr>
              <w:pStyle w:val="a8"/>
              <w:spacing w:line="500" w:lineRule="exact"/>
              <w:ind w:firstLineChars="350" w:firstLine="984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机构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评分</w:t>
            </w: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具有一级域名的企业网站和公众号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1215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具有一级域名的企业网站、公众号、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APP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、小程序，有定期更新制度并有预订和支付力能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3.8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经营出、入境业务的旅行社特别要求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提供两种以上外语导游和领队服务，团队资料档案应保存至少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年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质量和安全保证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59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745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4.1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使用主管部门推荐的旅游示范合同或内容符合国家有关规定的合同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已使用</w:t>
            </w:r>
          </w:p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2985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评定项目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大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企业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自评</w:t>
            </w:r>
          </w:p>
          <w:p w:rsidR="00F1007F" w:rsidRDefault="00F1007F" w:rsidP="000E420C">
            <w:pPr>
              <w:pStyle w:val="a8"/>
              <w:spacing w:line="500" w:lineRule="exact"/>
              <w:ind w:firstLineChars="350" w:firstLine="984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机构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评分</w:t>
            </w: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已使用，且严格履行旅游合同和接待计划，不应有擅自变更服务项目或更改行程安排的投诉，不应有欺骗或胁迫游客购物或另行付费项目的情形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4.2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安全生产管理制度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700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已建立健全安全生产管理制度：并对企业内部和旅游产品安全进行明确规定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1275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已建立健全、</w:t>
            </w:r>
            <w:proofErr w:type="gramStart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贵任到岗</w:t>
            </w:r>
            <w:proofErr w:type="gramEnd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的安全生产管理制度；并对企业内部和旅游产品安全进行明确规定，有检查</w:t>
            </w:r>
            <w:proofErr w:type="gramStart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落实台账记录</w:t>
            </w:r>
            <w:proofErr w:type="gramEnd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可查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4.3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建立安全事项报告制度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已建立</w:t>
            </w:r>
          </w:p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2970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评定项目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大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企业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自评</w:t>
            </w:r>
          </w:p>
          <w:p w:rsidR="00F1007F" w:rsidRDefault="00F1007F" w:rsidP="000E420C">
            <w:pPr>
              <w:pStyle w:val="a8"/>
              <w:spacing w:line="500" w:lineRule="exact"/>
              <w:ind w:firstLineChars="350" w:firstLine="984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机构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评分</w:t>
            </w: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已建立，近两年无一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 xml:space="preserve">- 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般</w:t>
            </w:r>
            <w:proofErr w:type="gramStart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安全贵任事故</w:t>
            </w:r>
            <w:proofErr w:type="gramEnd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和质量事件（造成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人（不含）以下死亡，或者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人（不含）以下重伤，或者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1000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万元以下直接经济损失），未受到警告以上处罚制定旅游突发事件应急预案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4.4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制定旅游突发事件应急预案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805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制定并实施安全工作应急预案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制定并实施安全工作应急预案，每年定期演练，并有相关记录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700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4.5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建立顾客意见反馈制度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有建立顾客意见反馈制度</w:t>
            </w:r>
          </w:p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2700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评定项目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大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企业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自评</w:t>
            </w:r>
          </w:p>
          <w:p w:rsidR="00F1007F" w:rsidRDefault="00F1007F" w:rsidP="000E420C">
            <w:pPr>
              <w:pStyle w:val="a8"/>
              <w:spacing w:line="500" w:lineRule="exact"/>
              <w:ind w:firstLineChars="350" w:firstLine="984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机构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评分</w:t>
            </w:r>
          </w:p>
        </w:tc>
      </w:tr>
      <w:tr w:rsidR="00F1007F" w:rsidTr="000E420C">
        <w:trPr>
          <w:trHeight w:val="1290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有建立顾客意见反馈制度，并且每年对游客进行服务质量调查，同时设有质量监督和投诉处理机构并配备专门人员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有建立顾客意见反馈制度，并且每年对游客进行服务质量调查，专人建立并管理顾客意见反馈制度和质量管理制度，至少每年进行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次质量评审，有完整的质量档案资料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4.6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旅行社每年进行服务质量分析并形成报告，其中应包含游客满意度</w:t>
            </w: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分析。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游客满意度应不低于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75%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游客满意度应不低于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80%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805"/>
        </w:trPr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游客满意度应不低于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85%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评定项目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大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企业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自评</w:t>
            </w:r>
          </w:p>
          <w:p w:rsidR="00F1007F" w:rsidRDefault="00F1007F" w:rsidP="000E420C">
            <w:pPr>
              <w:pStyle w:val="a8"/>
              <w:spacing w:line="500" w:lineRule="exact"/>
              <w:ind w:firstLineChars="350" w:firstLine="984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机构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评分</w:t>
            </w: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4.7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旅游投诉热线设立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已设立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已设立，并有公众号、邮箱或其他投诉方式，且提供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24h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服务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4.8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投诉档案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完整，投诉处理记录、投诉反馈和处理意见规范，有效投诉≤当年组织和接待人次的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0.1%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。有效投诉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&gt;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当年组织和接待人次的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0.1%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情形，按实际情况进行相应扣分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817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4.9</w:t>
            </w:r>
          </w:p>
        </w:tc>
        <w:tc>
          <w:tcPr>
            <w:tcW w:w="10206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质量认证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</w:tbl>
    <w:p w:rsidR="00F1007F" w:rsidRDefault="00F1007F" w:rsidP="00F1007F">
      <w:pPr>
        <w:spacing w:line="560" w:lineRule="exact"/>
        <w:ind w:firstLineChars="200" w:firstLine="480"/>
        <w:rPr>
          <w:rFonts w:ascii="Times New Roman" w:eastAsia="仿宋_GB2312" w:hAnsi="Times New Roman" w:cs="仿宋"/>
          <w:sz w:val="24"/>
        </w:rPr>
      </w:pPr>
      <w:r>
        <w:rPr>
          <w:rFonts w:ascii="Times New Roman" w:eastAsia="仿宋_GB2312" w:hAnsi="Times New Roman" w:cs="仿宋" w:hint="eastAsia"/>
          <w:sz w:val="24"/>
        </w:rPr>
        <w:t>注：</w:t>
      </w:r>
      <w:r>
        <w:rPr>
          <w:rFonts w:ascii="Times New Roman" w:eastAsia="仿宋_GB2312" w:hAnsi="Times New Roman" w:cs="仿宋" w:hint="eastAsia"/>
          <w:sz w:val="24"/>
        </w:rPr>
        <w:t>3</w:t>
      </w:r>
      <w:r>
        <w:rPr>
          <w:rFonts w:ascii="Times New Roman" w:eastAsia="仿宋_GB2312" w:hAnsi="Times New Roman" w:cs="仿宋" w:hint="eastAsia"/>
          <w:sz w:val="24"/>
        </w:rPr>
        <w:t>、</w:t>
      </w:r>
      <w:r>
        <w:rPr>
          <w:rFonts w:ascii="Times New Roman" w:eastAsia="仿宋_GB2312" w:hAnsi="Times New Roman" w:cs="仿宋" w:hint="eastAsia"/>
          <w:sz w:val="24"/>
        </w:rPr>
        <w:t>4.6</w:t>
      </w:r>
      <w:r>
        <w:rPr>
          <w:rFonts w:ascii="Times New Roman" w:eastAsia="仿宋_GB2312" w:hAnsi="Times New Roman" w:cs="仿宋" w:hint="eastAsia"/>
          <w:sz w:val="24"/>
        </w:rPr>
        <w:t>游客满意</w:t>
      </w:r>
      <w:proofErr w:type="gramStart"/>
      <w:r>
        <w:rPr>
          <w:rFonts w:ascii="Times New Roman" w:eastAsia="仿宋_GB2312" w:hAnsi="Times New Roman" w:cs="仿宋" w:hint="eastAsia"/>
          <w:sz w:val="24"/>
        </w:rPr>
        <w:t>度数据</w:t>
      </w:r>
      <w:proofErr w:type="gramEnd"/>
      <w:r>
        <w:rPr>
          <w:rFonts w:ascii="Times New Roman" w:eastAsia="仿宋_GB2312" w:hAnsi="Times New Roman" w:cs="仿宋" w:hint="eastAsia"/>
          <w:sz w:val="24"/>
        </w:rPr>
        <w:t>应来源于咨询、市场调查等第三方公司评估报告。</w:t>
      </w:r>
    </w:p>
    <w:p w:rsidR="00F1007F" w:rsidRDefault="00F1007F" w:rsidP="00F1007F">
      <w:pPr>
        <w:numPr>
          <w:ilvl w:val="0"/>
          <w:numId w:val="1"/>
        </w:numPr>
        <w:spacing w:line="560" w:lineRule="exact"/>
        <w:ind w:firstLineChars="400" w:firstLine="960"/>
        <w:rPr>
          <w:rFonts w:ascii="Times New Roman" w:eastAsia="仿宋_GB2312" w:hAnsi="Times New Roman" w:cs="仿宋" w:hint="eastAsia"/>
          <w:sz w:val="24"/>
        </w:rPr>
      </w:pPr>
      <w:r>
        <w:rPr>
          <w:rFonts w:ascii="Times New Roman" w:eastAsia="仿宋_GB2312" w:hAnsi="Times New Roman" w:cs="仿宋" w:hint="eastAsia"/>
          <w:sz w:val="24"/>
        </w:rPr>
        <w:t>参考</w:t>
      </w:r>
      <w:r>
        <w:rPr>
          <w:rFonts w:ascii="Times New Roman" w:eastAsia="仿宋_GB2312" w:hAnsi="Times New Roman" w:cs="仿宋" w:hint="eastAsia"/>
          <w:sz w:val="24"/>
        </w:rPr>
        <w:t>2019</w:t>
      </w:r>
      <w:r>
        <w:rPr>
          <w:rFonts w:ascii="Times New Roman" w:eastAsia="仿宋_GB2312" w:hAnsi="Times New Roman" w:cs="仿宋" w:hint="eastAsia"/>
          <w:sz w:val="24"/>
        </w:rPr>
        <w:t>年数据，全年平均达到或超过</w:t>
      </w:r>
      <w:r>
        <w:rPr>
          <w:rFonts w:ascii="Times New Roman" w:eastAsia="仿宋_GB2312" w:hAnsi="Times New Roman" w:cs="仿宋" w:hint="eastAsia"/>
          <w:sz w:val="24"/>
        </w:rPr>
        <w:t>0.11%</w:t>
      </w:r>
      <w:r>
        <w:rPr>
          <w:rFonts w:ascii="Times New Roman" w:eastAsia="仿宋_GB2312" w:hAnsi="Times New Roman" w:cs="仿宋" w:hint="eastAsia"/>
          <w:sz w:val="24"/>
        </w:rPr>
        <w:t>的扣</w:t>
      </w:r>
      <w:r>
        <w:rPr>
          <w:rFonts w:ascii="Times New Roman" w:eastAsia="仿宋_GB2312" w:hAnsi="Times New Roman" w:cs="仿宋" w:hint="eastAsia"/>
          <w:sz w:val="24"/>
        </w:rPr>
        <w:t>1</w:t>
      </w:r>
      <w:r>
        <w:rPr>
          <w:rFonts w:ascii="Times New Roman" w:eastAsia="仿宋_GB2312" w:hAnsi="Times New Roman" w:cs="仿宋" w:hint="eastAsia"/>
          <w:sz w:val="24"/>
        </w:rPr>
        <w:t>分，达到或超过</w:t>
      </w:r>
      <w:r>
        <w:rPr>
          <w:rFonts w:ascii="Times New Roman" w:eastAsia="仿宋_GB2312" w:hAnsi="Times New Roman" w:cs="仿宋" w:hint="eastAsia"/>
          <w:sz w:val="24"/>
        </w:rPr>
        <w:t>0.12%</w:t>
      </w:r>
      <w:r>
        <w:rPr>
          <w:rFonts w:ascii="Times New Roman" w:eastAsia="仿宋_GB2312" w:hAnsi="Times New Roman" w:cs="仿宋" w:hint="eastAsia"/>
          <w:sz w:val="24"/>
        </w:rPr>
        <w:t>的扣</w:t>
      </w:r>
      <w:r>
        <w:rPr>
          <w:rFonts w:ascii="Times New Roman" w:eastAsia="仿宋_GB2312" w:hAnsi="Times New Roman" w:cs="仿宋" w:hint="eastAsia"/>
          <w:sz w:val="24"/>
        </w:rPr>
        <w:t>2</w:t>
      </w:r>
      <w:r>
        <w:rPr>
          <w:rFonts w:ascii="Times New Roman" w:eastAsia="仿宋_GB2312" w:hAnsi="Times New Roman" w:cs="仿宋" w:hint="eastAsia"/>
          <w:sz w:val="24"/>
        </w:rPr>
        <w:t>分，以此类推，直至扣完为止。</w:t>
      </w:r>
    </w:p>
    <w:p w:rsidR="00F1007F" w:rsidRDefault="00F1007F" w:rsidP="00F1007F">
      <w:pPr>
        <w:spacing w:line="560" w:lineRule="exact"/>
        <w:rPr>
          <w:rFonts w:ascii="Times New Roman" w:eastAsia="仿宋_GB2312" w:hAnsi="Times New Roman" w:cs="仿宋" w:hint="eastAsia"/>
          <w:sz w:val="24"/>
        </w:rPr>
      </w:pPr>
    </w:p>
    <w:p w:rsidR="00F1007F" w:rsidRDefault="00F1007F" w:rsidP="00F1007F">
      <w:pPr>
        <w:spacing w:line="560" w:lineRule="exact"/>
        <w:rPr>
          <w:rFonts w:ascii="Times New Roman" w:eastAsia="仿宋_GB2312" w:hAnsi="Times New Roman" w:cs="仿宋" w:hint="eastAsia"/>
          <w:sz w:val="24"/>
        </w:rPr>
      </w:pPr>
    </w:p>
    <w:tbl>
      <w:tblPr>
        <w:tblStyle w:val="a9"/>
        <w:tblW w:w="0" w:type="auto"/>
        <w:tblInd w:w="0" w:type="dxa"/>
        <w:tblLayout w:type="fixed"/>
        <w:tblLook w:val="0000"/>
      </w:tblPr>
      <w:tblGrid>
        <w:gridCol w:w="1101"/>
        <w:gridCol w:w="9355"/>
        <w:gridCol w:w="851"/>
        <w:gridCol w:w="850"/>
        <w:gridCol w:w="992"/>
        <w:gridCol w:w="1025"/>
      </w:tblGrid>
      <w:tr w:rsidR="00F1007F" w:rsidTr="000E420C">
        <w:tc>
          <w:tcPr>
            <w:tcW w:w="1101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9355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评定项目</w:t>
            </w:r>
          </w:p>
        </w:tc>
        <w:tc>
          <w:tcPr>
            <w:tcW w:w="851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大</w:t>
            </w:r>
          </w:p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企业</w:t>
            </w:r>
          </w:p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自评</w:t>
            </w:r>
          </w:p>
          <w:p w:rsidR="00F1007F" w:rsidRDefault="00F1007F" w:rsidP="000E420C">
            <w:pPr>
              <w:pStyle w:val="a8"/>
              <w:spacing w:line="560" w:lineRule="exact"/>
              <w:ind w:firstLineChars="350" w:firstLine="984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</w:t>
            </w:r>
          </w:p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机构</w:t>
            </w:r>
          </w:p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评分</w:t>
            </w:r>
          </w:p>
        </w:tc>
      </w:tr>
      <w:tr w:rsidR="00F1007F" w:rsidTr="000E420C">
        <w:tc>
          <w:tcPr>
            <w:tcW w:w="1101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通过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ISO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质量体系认证并获得证书</w:t>
            </w:r>
          </w:p>
        </w:tc>
        <w:tc>
          <w:tcPr>
            <w:tcW w:w="851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1101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4.10</w:t>
            </w:r>
          </w:p>
        </w:tc>
        <w:tc>
          <w:tcPr>
            <w:tcW w:w="9355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质量奖项</w:t>
            </w:r>
          </w:p>
        </w:tc>
        <w:tc>
          <w:tcPr>
            <w:tcW w:w="851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1101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地市级政府部门或行业协会授予品牌、诚信或服务质量有关的荣誉称号</w:t>
            </w:r>
          </w:p>
        </w:tc>
        <w:tc>
          <w:tcPr>
            <w:tcW w:w="851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1101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省级以上政府部门或行业协会授予品牌、诚信或服务质量有关的荣誉称号</w:t>
            </w:r>
          </w:p>
        </w:tc>
        <w:tc>
          <w:tcPr>
            <w:tcW w:w="851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1101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4.11</w:t>
            </w:r>
          </w:p>
        </w:tc>
        <w:tc>
          <w:tcPr>
            <w:tcW w:w="9355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投诉处理管理制度</w:t>
            </w:r>
          </w:p>
        </w:tc>
        <w:tc>
          <w:tcPr>
            <w:tcW w:w="851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1101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已经建立，有相关投诉处理的管理规范，并按规范进行运作</w:t>
            </w:r>
          </w:p>
        </w:tc>
        <w:tc>
          <w:tcPr>
            <w:tcW w:w="851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1101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已经建立，有相关投诉处理的管理规范，并按规范进行运作，设有专门的投诉处理机构及专职质监负责人，并进行定期投诉处理分析且形成报告的</w:t>
            </w:r>
          </w:p>
        </w:tc>
        <w:tc>
          <w:tcPr>
            <w:tcW w:w="851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1101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4.12</w:t>
            </w:r>
          </w:p>
        </w:tc>
        <w:tc>
          <w:tcPr>
            <w:tcW w:w="9355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旅游活动</w:t>
            </w:r>
            <w:proofErr w:type="gramStart"/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涉危项目</w:t>
            </w:r>
            <w:proofErr w:type="gramEnd"/>
          </w:p>
        </w:tc>
        <w:tc>
          <w:tcPr>
            <w:tcW w:w="851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6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rPr>
          <w:trHeight w:val="2700"/>
        </w:trPr>
        <w:tc>
          <w:tcPr>
            <w:tcW w:w="110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935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评定项目</w:t>
            </w:r>
          </w:p>
        </w:tc>
        <w:tc>
          <w:tcPr>
            <w:tcW w:w="85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大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项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总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企业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自评</w:t>
            </w:r>
          </w:p>
          <w:p w:rsidR="00F1007F" w:rsidRDefault="00F1007F" w:rsidP="000E420C">
            <w:pPr>
              <w:pStyle w:val="a8"/>
              <w:spacing w:line="500" w:lineRule="exact"/>
              <w:ind w:firstLineChars="350" w:firstLine="984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评定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机构</w:t>
            </w:r>
          </w:p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评分</w:t>
            </w:r>
          </w:p>
        </w:tc>
      </w:tr>
      <w:tr w:rsidR="00F1007F" w:rsidTr="000E420C">
        <w:tc>
          <w:tcPr>
            <w:tcW w:w="110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对于旅游</w:t>
            </w:r>
            <w:proofErr w:type="gramStart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活动涉危项目</w:t>
            </w:r>
            <w:proofErr w:type="gramEnd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（包含但不限于高空、高速、潜水、漂流、高原、蹦极、滑雪等），有对客人进行安全提示与告知</w:t>
            </w:r>
          </w:p>
        </w:tc>
        <w:tc>
          <w:tcPr>
            <w:tcW w:w="85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110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加分项</w:t>
            </w:r>
          </w:p>
        </w:tc>
        <w:tc>
          <w:tcPr>
            <w:tcW w:w="935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8"/>
                <w:szCs w:val="28"/>
              </w:rPr>
              <w:t>参与社会活动</w:t>
            </w:r>
          </w:p>
        </w:tc>
        <w:tc>
          <w:tcPr>
            <w:tcW w:w="85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110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参与抗</w:t>
            </w:r>
            <w:proofErr w:type="gramStart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疫</w:t>
            </w:r>
            <w:proofErr w:type="gramEnd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防疫工作（组织车队、人员、物资）</w:t>
            </w:r>
          </w:p>
        </w:tc>
        <w:tc>
          <w:tcPr>
            <w:tcW w:w="85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110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疫情期间</w:t>
            </w:r>
            <w:proofErr w:type="gramStart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无主动</w:t>
            </w:r>
            <w:proofErr w:type="gramEnd"/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裁员</w:t>
            </w:r>
          </w:p>
        </w:tc>
        <w:tc>
          <w:tcPr>
            <w:tcW w:w="85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110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疫情期间退改签完成率达到</w:t>
            </w: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90%</w:t>
            </w:r>
          </w:p>
        </w:tc>
        <w:tc>
          <w:tcPr>
            <w:tcW w:w="85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110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参与政府委托项目</w:t>
            </w:r>
          </w:p>
        </w:tc>
        <w:tc>
          <w:tcPr>
            <w:tcW w:w="85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110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贯彻落实政府各项工作</w:t>
            </w:r>
          </w:p>
        </w:tc>
        <w:tc>
          <w:tcPr>
            <w:tcW w:w="85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110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参与但不限于扶贫、乡村振兴、工青团妇、志愿者等公益活动</w:t>
            </w:r>
          </w:p>
        </w:tc>
        <w:tc>
          <w:tcPr>
            <w:tcW w:w="85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110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参与旅游包车“五不租”活动</w:t>
            </w:r>
          </w:p>
        </w:tc>
        <w:tc>
          <w:tcPr>
            <w:tcW w:w="851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  <w:tr w:rsidR="00F1007F" w:rsidTr="000E420C">
        <w:tc>
          <w:tcPr>
            <w:tcW w:w="12157" w:type="dxa"/>
            <w:gridSpan w:val="4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sz w:val="28"/>
                <w:szCs w:val="28"/>
              </w:rPr>
              <w:t>合计</w:t>
            </w:r>
          </w:p>
        </w:tc>
        <w:tc>
          <w:tcPr>
            <w:tcW w:w="992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1007F" w:rsidRDefault="00F1007F" w:rsidP="000E420C">
            <w:pPr>
              <w:pStyle w:val="a8"/>
              <w:spacing w:line="500" w:lineRule="exact"/>
              <w:jc w:val="center"/>
              <w:rPr>
                <w:rFonts w:ascii="Times New Roman" w:eastAsia="仿宋_GB2312" w:hAnsi="Times New Roman" w:cs="仿宋"/>
                <w:sz w:val="28"/>
                <w:szCs w:val="28"/>
              </w:rPr>
            </w:pPr>
          </w:p>
        </w:tc>
      </w:tr>
    </w:tbl>
    <w:p w:rsidR="00F1007F" w:rsidRDefault="00F1007F" w:rsidP="00F1007F">
      <w:pPr>
        <w:spacing w:line="560" w:lineRule="exact"/>
        <w:rPr>
          <w:rFonts w:ascii="Times New Roman" w:eastAsia="仿宋_GB2312" w:hAnsi="Times New Roman" w:cs="仿宋"/>
          <w:sz w:val="24"/>
        </w:rPr>
        <w:sectPr w:rsidR="00F1007F">
          <w:pgSz w:w="16838" w:h="11906" w:orient="landscape"/>
          <w:pgMar w:top="1797" w:right="1440" w:bottom="1758" w:left="1440" w:header="851" w:footer="992" w:gutter="0"/>
          <w:cols w:space="720"/>
          <w:docGrid w:type="linesAndChars" w:linePitch="312"/>
        </w:sectPr>
      </w:pPr>
    </w:p>
    <w:p w:rsidR="00823A10" w:rsidRDefault="00F1007F" w:rsidP="00F1007F">
      <w:pPr>
        <w:spacing w:line="20" w:lineRule="exact"/>
      </w:pPr>
    </w:p>
    <w:sectPr w:rsidR="00823A10" w:rsidSect="00300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95188D"/>
    <w:multiLevelType w:val="singleLevel"/>
    <w:tmpl w:val="8E95188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07F"/>
    <w:rsid w:val="00300DC3"/>
    <w:rsid w:val="003B00C3"/>
    <w:rsid w:val="005B7C9C"/>
    <w:rsid w:val="00F1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endnote reference" w:uiPriority="0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脚注文本 Char"/>
    <w:basedOn w:val="a0"/>
    <w:link w:val="a3"/>
    <w:qFormat/>
    <w:rsid w:val="00F1007F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F1007F"/>
    <w:rPr>
      <w:rFonts w:ascii="Calibri" w:eastAsia="宋体" w:hAnsi="Calibri" w:cs="Times New Roman"/>
      <w:sz w:val="18"/>
      <w:szCs w:val="18"/>
    </w:rPr>
  </w:style>
  <w:style w:type="character" w:styleId="a5">
    <w:name w:val="endnote reference"/>
    <w:basedOn w:val="a0"/>
    <w:qFormat/>
    <w:rsid w:val="00F1007F"/>
    <w:rPr>
      <w:rFonts w:ascii="Calibri" w:eastAsia="宋体" w:hAnsi="Calibri" w:cs="Times New Roman"/>
      <w:vertAlign w:val="superscript"/>
    </w:rPr>
  </w:style>
  <w:style w:type="character" w:styleId="a6">
    <w:name w:val="footnote reference"/>
    <w:basedOn w:val="a0"/>
    <w:qFormat/>
    <w:rsid w:val="00F1007F"/>
    <w:rPr>
      <w:rFonts w:ascii="Calibri" w:eastAsia="宋体" w:hAnsi="Calibri" w:cs="Times New Roman"/>
      <w:vertAlign w:val="superscript"/>
    </w:rPr>
  </w:style>
  <w:style w:type="character" w:customStyle="1" w:styleId="Char1">
    <w:name w:val="页脚 Char"/>
    <w:basedOn w:val="a0"/>
    <w:link w:val="a7"/>
    <w:qFormat/>
    <w:rsid w:val="00F1007F"/>
    <w:rPr>
      <w:rFonts w:ascii="Calibri" w:eastAsia="宋体" w:hAnsi="Calibri" w:cs="Times New Roman"/>
      <w:sz w:val="18"/>
      <w:szCs w:val="18"/>
    </w:rPr>
  </w:style>
  <w:style w:type="character" w:customStyle="1" w:styleId="Char2">
    <w:name w:val="尾注文本 Char"/>
    <w:basedOn w:val="a0"/>
    <w:link w:val="a8"/>
    <w:qFormat/>
    <w:rsid w:val="00F1007F"/>
    <w:rPr>
      <w:rFonts w:ascii="Calibri" w:eastAsia="宋体" w:hAnsi="Calibri" w:cs="Times New Roman"/>
      <w:szCs w:val="24"/>
    </w:rPr>
  </w:style>
  <w:style w:type="paragraph" w:styleId="a8">
    <w:name w:val="endnote text"/>
    <w:basedOn w:val="a"/>
    <w:link w:val="Char2"/>
    <w:qFormat/>
    <w:rsid w:val="00F1007F"/>
    <w:pPr>
      <w:snapToGrid w:val="0"/>
      <w:jc w:val="left"/>
    </w:pPr>
  </w:style>
  <w:style w:type="character" w:customStyle="1" w:styleId="Char10">
    <w:name w:val="尾注文本 Char1"/>
    <w:basedOn w:val="a0"/>
    <w:link w:val="a8"/>
    <w:uiPriority w:val="99"/>
    <w:semiHidden/>
    <w:rsid w:val="00F1007F"/>
    <w:rPr>
      <w:rFonts w:ascii="Calibri" w:eastAsia="宋体" w:hAnsi="Calibri" w:cs="Times New Roman"/>
      <w:szCs w:val="24"/>
    </w:rPr>
  </w:style>
  <w:style w:type="paragraph" w:customStyle="1" w:styleId="ListParagraph">
    <w:name w:val="List Paragraph"/>
    <w:basedOn w:val="a"/>
    <w:uiPriority w:val="99"/>
    <w:unhideWhenUsed/>
    <w:qFormat/>
    <w:rsid w:val="00F1007F"/>
    <w:pPr>
      <w:ind w:firstLineChars="200" w:firstLine="420"/>
    </w:pPr>
  </w:style>
  <w:style w:type="paragraph" w:styleId="a7">
    <w:name w:val="footer"/>
    <w:basedOn w:val="a"/>
    <w:link w:val="Char1"/>
    <w:qFormat/>
    <w:rsid w:val="00F10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link w:val="a7"/>
    <w:uiPriority w:val="99"/>
    <w:semiHidden/>
    <w:rsid w:val="00F1007F"/>
    <w:rPr>
      <w:rFonts w:ascii="Calibri" w:eastAsia="宋体" w:hAnsi="Calibri" w:cs="Times New Roman"/>
      <w:sz w:val="18"/>
      <w:szCs w:val="18"/>
    </w:rPr>
  </w:style>
  <w:style w:type="paragraph" w:styleId="a3">
    <w:name w:val="footnote text"/>
    <w:basedOn w:val="a"/>
    <w:link w:val="Char"/>
    <w:qFormat/>
    <w:rsid w:val="00F1007F"/>
    <w:pPr>
      <w:snapToGrid w:val="0"/>
      <w:jc w:val="left"/>
    </w:pPr>
    <w:rPr>
      <w:sz w:val="18"/>
      <w:szCs w:val="18"/>
    </w:rPr>
  </w:style>
  <w:style w:type="character" w:customStyle="1" w:styleId="Char12">
    <w:name w:val="脚注文本 Char1"/>
    <w:basedOn w:val="a0"/>
    <w:link w:val="a3"/>
    <w:uiPriority w:val="99"/>
    <w:semiHidden/>
    <w:rsid w:val="00F1007F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qFormat/>
    <w:rsid w:val="00F10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3">
    <w:name w:val="页眉 Char1"/>
    <w:basedOn w:val="a0"/>
    <w:link w:val="a4"/>
    <w:uiPriority w:val="99"/>
    <w:semiHidden/>
    <w:rsid w:val="00F1007F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qFormat/>
    <w:rsid w:val="00F1007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848</Words>
  <Characters>4839</Characters>
  <Application>Microsoft Office Word</Application>
  <DocSecurity>0</DocSecurity>
  <Lines>40</Lines>
  <Paragraphs>11</Paragraphs>
  <ScaleCrop>false</ScaleCrop>
  <Company>Microsoft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2022-02-28T02:03:00Z</dcterms:created>
  <dcterms:modified xsi:type="dcterms:W3CDTF">2022-02-28T02:07:00Z</dcterms:modified>
</cp:coreProperties>
</file>