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jc w:val="left"/>
        <w:rPr>
          <w:rFonts w:hint="eastAsia" w:ascii="黑体" w:hAnsi="黑体" w:eastAsia="黑体" w:cs="黑体"/>
          <w:b w:val="0"/>
          <w:bCs/>
          <w:sz w:val="32"/>
          <w:szCs w:val="20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</w:rPr>
        <w:t>附件</w:t>
      </w:r>
    </w:p>
    <w:p>
      <w:pPr>
        <w:pStyle w:val="8"/>
        <w:bidi w:val="0"/>
        <w:jc w:val="left"/>
        <w:rPr>
          <w:rFonts w:hint="default" w:ascii="Times New Roman" w:hAnsi="Times New Roman" w:eastAsia="仿宋_GB2312" w:cs="Times New Roman"/>
          <w:b w:val="0"/>
          <w:bCs/>
          <w:sz w:val="36"/>
          <w:szCs w:val="21"/>
        </w:rPr>
      </w:pPr>
    </w:p>
    <w:p>
      <w:pPr>
        <w:pStyle w:val="8"/>
        <w:bidi w:val="0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汕头市2024年促进经济高质量发展专项</w:t>
      </w:r>
    </w:p>
    <w:p>
      <w:pPr>
        <w:pStyle w:val="8"/>
        <w:bidi w:val="0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资金（发展内贸促消费方向）</w:t>
      </w:r>
    </w:p>
    <w:p>
      <w:pPr>
        <w:pStyle w:val="8"/>
        <w:bidi w:val="0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消费枢纽建设入库申报指南</w:t>
      </w:r>
    </w:p>
    <w:p>
      <w:pPr>
        <w:pStyle w:val="7"/>
        <w:bidi w:val="0"/>
        <w:rPr>
          <w:rFonts w:hint="default" w:ascii="Times New Roman" w:hAnsi="Times New Roman" w:cs="Times New Roman"/>
        </w:rPr>
      </w:pP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根据</w:t>
      </w:r>
      <w:r>
        <w:rPr>
          <w:rFonts w:hint="default" w:ascii="Times New Roman" w:hAnsi="Times New Roman" w:cs="Times New Roman"/>
        </w:rPr>
        <w:t>《广东省商务厅关于做好2024年促进经济高质量发展专项资金（发展内贸促消费方向）消费枢纽建设事项入库工作的通知》（粤商务建函〔2023〕</w:t>
      </w:r>
      <w:r>
        <w:rPr>
          <w:rFonts w:hint="default" w:ascii="Times New Roman" w:hAnsi="Times New Roman" w:cs="Times New Roman"/>
          <w:lang w:val="en-US" w:eastAsia="zh-CN"/>
        </w:rPr>
        <w:t>181</w:t>
      </w:r>
      <w:r>
        <w:rPr>
          <w:rFonts w:hint="default" w:ascii="Times New Roman" w:hAnsi="Times New Roman" w:cs="Times New Roman"/>
        </w:rPr>
        <w:t>号）要求，</w:t>
      </w:r>
      <w:r>
        <w:rPr>
          <w:rFonts w:hint="default" w:ascii="Times New Roman" w:hAnsi="Times New Roman" w:cs="Times New Roman"/>
          <w:lang w:val="en-US" w:eastAsia="zh-CN"/>
        </w:rPr>
        <w:t>为做好</w:t>
      </w:r>
      <w:r>
        <w:rPr>
          <w:rFonts w:hint="default" w:ascii="Times New Roman" w:hAnsi="Times New Roman" w:cs="Times New Roman"/>
        </w:rPr>
        <w:t>汕头市2024年促进经济高质量发展专项资金（发展内贸促消费方向）消费枢纽建设入库申报工作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制定本指南。</w:t>
      </w:r>
    </w:p>
    <w:p>
      <w:pPr>
        <w:pStyle w:val="9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一、</w:t>
      </w:r>
      <w:r>
        <w:rPr>
          <w:rFonts w:hint="default" w:ascii="Times New Roman" w:hAnsi="Times New Roman" w:cs="Times New Roman"/>
        </w:rPr>
        <w:t>支持方向</w:t>
      </w:r>
      <w:r>
        <w:rPr>
          <w:rFonts w:hint="default" w:ascii="Times New Roman" w:hAnsi="Times New Roman" w:cs="Times New Roman"/>
          <w:lang w:val="en-US" w:eastAsia="zh-CN"/>
        </w:rPr>
        <w:t>和内容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Style w:val="11"/>
          <w:rFonts w:hint="default" w:ascii="Times New Roman" w:hAnsi="Times New Roman" w:cs="Times New Roman"/>
        </w:rPr>
        <w:t>（一）支持步行街（商圈）改造提升。</w:t>
      </w:r>
      <w:r>
        <w:rPr>
          <w:rFonts w:hint="default" w:ascii="Times New Roman" w:hAnsi="Times New Roman" w:cs="Times New Roman"/>
        </w:rPr>
        <w:t>对2023年度内认定为省级示范特色步行街（商圈）开展改造提升直接相关工作，包括加强整体规划布局和商业策划，优化街区环境，提高商业质量，引进知名企业和品牌，增强文化底蕴，规范管理运营，建立优化消费监测体系，鼓励企业纳统，举办促消费活动等项目给予一次性奖补。每个省级示范特色步行街（商圈）奖励金额最高不超过125万元。</w:t>
      </w:r>
    </w:p>
    <w:p>
      <w:pPr>
        <w:pStyle w:val="10"/>
        <w:bidi w:val="0"/>
        <w:rPr>
          <w:rFonts w:hint="default" w:ascii="Times New Roman" w:hAnsi="Times New Roman" w:eastAsia="楷体" w:cs="Times New Roman"/>
          <w:lang w:eastAsia="zh-CN"/>
        </w:rPr>
      </w:pPr>
      <w:r>
        <w:rPr>
          <w:rFonts w:hint="default" w:ascii="Times New Roman" w:hAnsi="Times New Roman" w:cs="Times New Roman"/>
        </w:rPr>
        <w:t>（二）促进批发零售行业高质量发展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1.对大型家电、家具、家装以及其他工业、农业消费品生产制造企业在2023年1月1日至6月30日新设立销售公司、电商公司、大型零售法人</w:t>
      </w:r>
      <w:r>
        <w:rPr>
          <w:rFonts w:hint="default" w:ascii="Times New Roman" w:hAnsi="Times New Roman" w:cs="Times New Roman"/>
          <w:u w:val="none"/>
        </w:rPr>
        <w:t>，</w:t>
      </w:r>
      <w:r>
        <w:rPr>
          <w:rFonts w:hint="default" w:ascii="Times New Roman" w:hAnsi="Times New Roman" w:cs="Times New Roman"/>
        </w:rPr>
        <w:t>并纳入统计达到一定规模的，给予奖补。对大型批发零售企业在2023年1月1日至6月30日设立独立法人企业，并纳入统计达到一定规模的，给予奖补。对新设立批发企业销售额达2亿元及以上，按不高于销售额0.05%给予奖励；对新设立零售企业零售额达5000万元及以上，按不高于零售额0.3%给予奖励。批发企业单个对象最高奖励不超过50万元，零售企业单个对象最高奖励不超过100万元。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对2022年度销售额达到一定规模并增长较快的批发企业、零售企业、电商平台给予奖补。对批发企业销售额在5亿元及以上的，按不高于销售额增量的0.05%给予奖励；零售企业零售额在1亿元及以上的，按不高于零售额增量的0.3%给予奖励。批发企业单个对象最高奖励不超过50万元，零售企业单个对象最高奖励不超过100万元。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3.对2022年9月1日至2023年12月31日期间，推动内贸市场运行监测分析、提升数据智能采集水平的样本企业、重点联系企业和相关单位的项目给予奖励，每个企业补贴不超过5万元。</w:t>
      </w:r>
    </w:p>
    <w:p>
      <w:pPr>
        <w:pStyle w:val="10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（三）消费枢纽工程性方向专项支持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城市消费枢纽方向。根据《广东省商务厅关于印发广东省商务领域2022年重点建设项目计划的通知》（粤商务厅字〔2022〕18号），对纳入《广东省商务领域2022年重点建设项目计划表》中“一、消费载体”和“二、商贸流通类”，并列入广东省重点建设项目计划的项目给予支持，支持项目必须竣工或者阶段性完成，每个项目支持不超过100万元，不得弥补或投入到基础设施建设，鼓励优先支持市场改造提升、品牌培育、数字化转型、智慧化建设、举办行业引领性活动或展会，如项目未来发生烂尾等无法竣工情形，必须追回资金。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县域消费枢纽方向。对县域地区（县级行政区以下）三类项目进行财政奖励，每个项目奖励金额不超过项目投资额的40%，最高不超过100万元。一是限上商贸企业新增营业面积100平方米（含）以上；二是新设立（2022年1月后设立）并已建立起联结市县镇流通服务网络的商贸物流企业，采购标准化的物流载具和设备（如：1000mm×1200mm标准化托盘及其相适应的货架、叉车；符合汽车、挂车及汽车列车外廓尺寸、轴荷及质量限值（GB1589—2016）标准生产的货车等）；三是商贸流通企业、商贸物流企业、快递物流企业在镇级（含）以下实施的构建镇村服务网络、下沉供应链、实现联县带村功能促进城乡商贸流通服务均等化的项目。以上三类项目支持期限为2023年1月至2025年12月，以发票显示时间为准。支持对象不含个人、个体经营户。</w:t>
      </w:r>
    </w:p>
    <w:p>
      <w:pPr>
        <w:pStyle w:val="9"/>
        <w:bidi w:val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申报主体要求</w:t>
      </w:r>
    </w:p>
    <w:p>
      <w:pPr>
        <w:pStyle w:val="7"/>
        <w:bidi w:val="0"/>
        <w:rPr>
          <w:rFonts w:hint="default" w:ascii="Times New Roman" w:hAnsi="Times New Roman" w:cs="Times New Roman"/>
          <w:highlight w:val="yellow"/>
        </w:rPr>
      </w:pPr>
      <w:r>
        <w:rPr>
          <w:rFonts w:hint="default" w:ascii="Times New Roman" w:hAnsi="Times New Roman" w:cs="Times New Roman"/>
        </w:rPr>
        <w:t>（一）</w:t>
      </w:r>
      <w:r>
        <w:rPr>
          <w:rFonts w:hint="default" w:ascii="Times New Roman" w:hAnsi="Times New Roman" w:cs="Times New Roman"/>
          <w:lang w:val="en-US" w:eastAsia="zh-CN"/>
        </w:rPr>
        <w:t>申报主体为在</w:t>
      </w:r>
      <w:r>
        <w:rPr>
          <w:rFonts w:hint="default" w:ascii="Times New Roman" w:hAnsi="Times New Roman" w:cs="Times New Roman"/>
        </w:rPr>
        <w:t>我市注册登记的企业</w:t>
      </w:r>
      <w:r>
        <w:rPr>
          <w:rFonts w:hint="default" w:ascii="Times New Roman" w:hAnsi="Times New Roman" w:cs="Times New Roman"/>
        </w:rPr>
        <w:t>。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（二）在“信用中国”未被列入严重失信主体名单。近三年无严重违法违规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</w:rPr>
        <w:t>无欠缴财政资金、信用良好、正常生产运营。</w:t>
      </w:r>
    </w:p>
    <w:p>
      <w:pPr>
        <w:pStyle w:val="9"/>
        <w:bidi w:val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三、申报材料</w:t>
      </w:r>
      <w:r>
        <w:rPr>
          <w:rFonts w:hint="default" w:ascii="Times New Roman" w:hAnsi="Times New Roman" w:cs="Times New Roman"/>
          <w:lang w:val="en-US" w:eastAsia="zh-CN"/>
        </w:rPr>
        <w:t>要求</w:t>
      </w:r>
    </w:p>
    <w:p>
      <w:pPr>
        <w:pStyle w:val="10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（一）省级示范特色步行街（商圈）项目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1.根据资金扶持类型，填写《2024年促进经济高质量发展专项资金（发展内贸促消费方向）消费枢纽建设资金入库申报表》（附件1）；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2.书面申请报告，内容包括企业基本情况及项目基本情况（申请报告须法人代表签字并加盖公章）；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3.承诺书（附件2）；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4.营业执照</w:t>
      </w:r>
      <w:r>
        <w:rPr>
          <w:rFonts w:hint="default" w:ascii="Times New Roman" w:hAnsi="Times New Roman" w:cs="Times New Roman"/>
        </w:rPr>
        <w:t>复印件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加盖公章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5.商务部门认定为省级示范商圈（特色商业街区）的相关文件证明</w:t>
      </w:r>
      <w:r>
        <w:rPr>
          <w:rFonts w:hint="default" w:ascii="Times New Roman" w:hAnsi="Times New Roman" w:cs="Times New Roman"/>
          <w:lang w:val="en-US" w:eastAsia="zh-CN"/>
        </w:rPr>
        <w:t>或申报参评文件</w:t>
      </w:r>
      <w:r>
        <w:rPr>
          <w:rFonts w:hint="default" w:ascii="Times New Roman" w:hAnsi="Times New Roman" w:cs="Times New Roman"/>
          <w:lang w:eastAsia="zh-CN"/>
        </w:rPr>
        <w:t>（待正式认定后补充获评相关文件证明）</w:t>
      </w:r>
      <w:r>
        <w:rPr>
          <w:rFonts w:hint="default" w:ascii="Times New Roman" w:hAnsi="Times New Roman" w:cs="Times New Roman"/>
        </w:rPr>
        <w:t>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</w:t>
      </w:r>
      <w:r>
        <w:rPr>
          <w:rFonts w:hint="default" w:ascii="Times New Roman" w:hAnsi="Times New Roman" w:cs="Times New Roman"/>
        </w:rPr>
        <w:t>.项目投入的合同、发票</w:t>
      </w:r>
      <w:r>
        <w:rPr>
          <w:rFonts w:hint="default" w:ascii="Times New Roman" w:hAnsi="Times New Roman" w:cs="Times New Roman"/>
        </w:rPr>
        <w:t>、记账凭证</w:t>
      </w:r>
      <w:r>
        <w:rPr>
          <w:rFonts w:hint="default" w:ascii="Times New Roman" w:hAnsi="Times New Roman" w:cs="Times New Roman"/>
        </w:rPr>
        <w:t>及</w:t>
      </w:r>
      <w:r>
        <w:rPr>
          <w:rFonts w:hint="default" w:ascii="Times New Roman" w:hAnsi="Times New Roman" w:cs="Times New Roman"/>
        </w:rPr>
        <w:t>银行</w:t>
      </w:r>
      <w:r>
        <w:rPr>
          <w:rFonts w:hint="default" w:ascii="Times New Roman" w:hAnsi="Times New Roman" w:cs="Times New Roman"/>
        </w:rPr>
        <w:t>转账凭证</w:t>
      </w:r>
      <w:r>
        <w:rPr>
          <w:rFonts w:hint="default" w:ascii="Times New Roman" w:hAnsi="Times New Roman" w:cs="Times New Roman"/>
        </w:rPr>
        <w:t>原件（核验后退回）及</w:t>
      </w:r>
      <w:r>
        <w:rPr>
          <w:rFonts w:hint="default" w:ascii="Times New Roman" w:hAnsi="Times New Roman" w:cs="Times New Roman"/>
        </w:rPr>
        <w:t>复印件</w:t>
      </w:r>
      <w:r>
        <w:rPr>
          <w:rFonts w:hint="default" w:ascii="Times New Roman" w:hAnsi="Times New Roman" w:cs="Times New Roman"/>
        </w:rPr>
        <w:t>（加盖公章）</w:t>
      </w:r>
      <w:r>
        <w:rPr>
          <w:rFonts w:hint="default" w:ascii="Times New Roman" w:hAnsi="Times New Roman" w:cs="Times New Roman"/>
        </w:rPr>
        <w:t>，合同、发票及转账凭证复印件按顺序分类全部提供（附件3）；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</w:t>
      </w:r>
      <w:r>
        <w:rPr>
          <w:rFonts w:hint="default" w:ascii="Times New Roman" w:hAnsi="Times New Roman" w:cs="Times New Roman"/>
        </w:rPr>
        <w:t>.企业诚信材料。提供两类信息，一是信用中国平台（www.creditchina.gov.cn）的信用信息。二是国家企业信用信息公示系统https://gd.gsxt.gov.cn/index.html查询结果各栏目资料。</w:t>
      </w:r>
    </w:p>
    <w:p>
      <w:pPr>
        <w:pStyle w:val="10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（二）促进批发零售行业高质量发展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1.根据资金扶持类型，填写《2024年促进经济高质量发展专项资金（发展内贸促消费方向）消费枢纽建设资金入库申报表》（附件1）；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2.承诺书（附件2）；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3.营业执照复印件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加盖公章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；</w:t>
      </w:r>
    </w:p>
    <w:p>
      <w:pPr>
        <w:pStyle w:val="7"/>
        <w:bidi w:val="0"/>
        <w:rPr>
          <w:rFonts w:hint="default" w:ascii="Times New Roman" w:hAnsi="Times New Roman" w:eastAsia="方正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4.2023年上半年（申报第一项）；2021年和2022年（申报第二项）的《增值税纳税申报表》</w:t>
      </w:r>
      <w:r>
        <w:rPr>
          <w:rFonts w:hint="default" w:ascii="Times New Roman" w:hAnsi="Times New Roman" w:cs="Times New Roman"/>
        </w:rPr>
        <w:t>及附列资料一；申报零售企业奖励的另提供相应年度的零售额相关佐证文件；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5.企业诚信材料。提供两类信息，一是信用中国平台（www.creditchina.gov.cn）的信用信息。二是国家企业信用信息公示系统https://gd.gsxt.gov.cn/index.html查询结果各栏目资料。</w:t>
      </w:r>
    </w:p>
    <w:p>
      <w:pPr>
        <w:pStyle w:val="10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（三）消费枢纽工程性方向专项支持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1.根据资金扶持类型，填写《2024年促进经济高质量发展专项资金（发展内贸促消费方向）消费枢纽建设资金入库申报表》（附件1）；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2.书面申请报告，内容包括企业基本情况及项目基本情况（申请报告须法人代表签字并加盖公章）；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3.承诺书（附件2）；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4.营业执照复印件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加盖公章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；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cs="Times New Roman"/>
        </w:rPr>
        <w:t>.项目投入的合同、发票</w:t>
      </w:r>
      <w:r>
        <w:rPr>
          <w:rFonts w:hint="default" w:ascii="Times New Roman" w:hAnsi="Times New Roman" w:cs="Times New Roman"/>
        </w:rPr>
        <w:t>、记账凭证</w:t>
      </w:r>
      <w:r>
        <w:rPr>
          <w:rFonts w:hint="default" w:ascii="Times New Roman" w:hAnsi="Times New Roman" w:cs="Times New Roman"/>
        </w:rPr>
        <w:t>及</w:t>
      </w:r>
      <w:r>
        <w:rPr>
          <w:rFonts w:hint="default" w:ascii="Times New Roman" w:hAnsi="Times New Roman" w:cs="Times New Roman"/>
        </w:rPr>
        <w:t>银行</w:t>
      </w:r>
      <w:r>
        <w:rPr>
          <w:rFonts w:hint="default" w:ascii="Times New Roman" w:hAnsi="Times New Roman" w:cs="Times New Roman"/>
        </w:rPr>
        <w:t>转账凭证</w:t>
      </w:r>
      <w:r>
        <w:rPr>
          <w:rFonts w:hint="default" w:ascii="Times New Roman" w:hAnsi="Times New Roman" w:cs="Times New Roman"/>
        </w:rPr>
        <w:t>原件（核验后退回）及</w:t>
      </w:r>
      <w:r>
        <w:rPr>
          <w:rFonts w:hint="default" w:ascii="Times New Roman" w:hAnsi="Times New Roman" w:cs="Times New Roman"/>
        </w:rPr>
        <w:t>复印件</w:t>
      </w:r>
      <w:r>
        <w:rPr>
          <w:rFonts w:hint="default" w:ascii="Times New Roman" w:hAnsi="Times New Roman" w:cs="Times New Roman"/>
        </w:rPr>
        <w:t>（加盖公章）</w:t>
      </w:r>
      <w:r>
        <w:rPr>
          <w:rFonts w:hint="default" w:ascii="Times New Roman" w:hAnsi="Times New Roman" w:cs="Times New Roman"/>
        </w:rPr>
        <w:t>，合同、发票及转账凭证复印件按顺序分类全部提供（附件3）；</w:t>
      </w:r>
    </w:p>
    <w:p>
      <w:pPr>
        <w:pStyle w:val="7"/>
        <w:bidi w:val="0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6</w:t>
      </w:r>
      <w:r>
        <w:rPr>
          <w:rFonts w:hint="default" w:ascii="Times New Roman" w:hAnsi="Times New Roman" w:cs="Times New Roman"/>
        </w:rPr>
        <w:t>.企业诚信材料。提供两类信息，一是信用中国平台（www.creditchina.gov.cn）的信用信息。二是国家企业信用信息公示系统https://gd.gsxt.gov.cn/index.html查询结果各栏目资料。</w:t>
      </w:r>
    </w:p>
    <w:p>
      <w:pPr>
        <w:pStyle w:val="9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四、申报流程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企业按照要求准备好相关申请材料一式二份，统一用A4纸按顺序装订成册，加盖申报单位公章。申报材料要有封面和目录、页码，封面统一标题为：2024年促进经济高质量发展专项资金（发展内贸促消费方向）消费枢纽建设资金入库申报材料。申报方向为省级示范特色步行街（商圈）项目的于</w:t>
      </w:r>
      <w:r>
        <w:rPr>
          <w:rFonts w:hint="default" w:ascii="Times New Roman" w:hAnsi="Times New Roman" w:cs="Times New Roman"/>
          <w:lang w:val="en-US" w:eastAsia="zh-CN"/>
        </w:rPr>
        <w:t>8月2</w:t>
      </w:r>
      <w:r>
        <w:rPr>
          <w:rFonts w:hint="default" w:ascii="Times New Roman" w:hAnsi="Times New Roman" w:cs="Times New Roman"/>
          <w:lang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前报市商务局，申报方向为促进批发零售行业高质量发展</w:t>
      </w:r>
      <w:r>
        <w:rPr>
          <w:rFonts w:hint="default" w:ascii="Times New Roman" w:hAnsi="Times New Roman" w:cs="Times New Roman"/>
        </w:rPr>
        <w:t>和消费枢纽工程性方向专项支持</w:t>
      </w:r>
      <w:r>
        <w:rPr>
          <w:rFonts w:hint="default" w:ascii="Times New Roman" w:hAnsi="Times New Roman" w:cs="Times New Roman"/>
        </w:rPr>
        <w:t>的于</w:t>
      </w:r>
      <w:r>
        <w:rPr>
          <w:rFonts w:hint="default" w:ascii="Times New Roman" w:hAnsi="Times New Roman" w:cs="Times New Roman"/>
          <w:lang w:val="en-US" w:eastAsia="zh-CN"/>
        </w:rPr>
        <w:t>8月2</w:t>
      </w:r>
      <w:r>
        <w:rPr>
          <w:rFonts w:hint="default" w:ascii="Times New Roman" w:hAnsi="Times New Roman" w:cs="Times New Roman"/>
          <w:lang w:eastAsia="zh-CN"/>
        </w:rPr>
        <w:t>9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default" w:ascii="Times New Roman" w:hAnsi="Times New Roman" w:cs="Times New Roman"/>
        </w:rPr>
        <w:t>前报注册所在地区级商务主管部门初审。逾期不报视为自动放弃。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（二）各区级商务主管部门对促进批发零售行业高质量发展</w:t>
      </w:r>
      <w:r>
        <w:rPr>
          <w:rFonts w:hint="default" w:ascii="Times New Roman" w:hAnsi="Times New Roman" w:cs="Times New Roman"/>
        </w:rPr>
        <w:t>和消费枢纽工程性方向专项支持</w:t>
      </w:r>
      <w:r>
        <w:rPr>
          <w:rFonts w:hint="default" w:ascii="Times New Roman" w:hAnsi="Times New Roman" w:cs="Times New Roman"/>
        </w:rPr>
        <w:t>的申报材料进行完整性、真实性审核，综合有关信息后，出具初审意见并加盖公章。在《2024年促进经济高质量发展专项资金（发展内贸促消费方向）消费枢纽建设资金入库申报表》（附件1）加盖单位公章后，汇总填写《2024年促进经济高质量发展专项资金（发展内贸促消费方向）消费枢纽建设资金汇总表》（附件4），于</w:t>
      </w:r>
      <w:r>
        <w:rPr>
          <w:rFonts w:hint="default" w:ascii="Times New Roman" w:hAnsi="Times New Roman" w:cs="Times New Roman"/>
        </w:rPr>
        <w:t>8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</w:rPr>
        <w:t>29</w:t>
      </w:r>
      <w:r>
        <w:rPr>
          <w:rFonts w:hint="default" w:ascii="Times New Roman" w:hAnsi="Times New Roman" w:cs="Times New Roman"/>
        </w:rPr>
        <w:t>日前连同企业申报材料（一式一份，同时附电子版）报市商务局。</w:t>
      </w:r>
    </w:p>
    <w:p>
      <w:pPr>
        <w:pStyle w:val="7"/>
        <w:bidi w:val="0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（三）市商务局根据各区县商务主管部门上报情况和企业申报情况，委托第三方对申报情况进行审查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按程序评审组织入库。</w:t>
      </w:r>
    </w:p>
    <w:p>
      <w:pPr>
        <w:pStyle w:val="9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五、资金使用要求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（一）本指南作为项目入库申报的依据，具体项目和金额以省商务厅下达我局的2024年促进经济高质量发展专项资金（发展内贸促消费方向）消费枢纽建设资金为准。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（二）已获得其他省级、市级财政资金支持的工作和项目，不得重复支持。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</w:t>
      </w:r>
      <w:r>
        <w:rPr>
          <w:rFonts w:hint="default" w:ascii="Times New Roman" w:hAnsi="Times New Roman" w:cs="Times New Roman"/>
        </w:rPr>
        <w:t>财政资金不得用于以下方面:实施单位正在接受审计或纪检监察部门调查；人员经费，包括发放公务人员工资、奖金、劳务费、津补贴等；其他违反相关规定或与支</w:t>
      </w:r>
      <w:bookmarkStart w:id="0" w:name="_GoBack"/>
      <w:bookmarkEnd w:id="0"/>
      <w:r>
        <w:rPr>
          <w:rFonts w:hint="default" w:ascii="Times New Roman" w:hAnsi="Times New Roman" w:cs="Times New Roman"/>
        </w:rPr>
        <w:t>持方向关联性不强的支出。</w:t>
      </w:r>
    </w:p>
    <w:p>
      <w:pPr>
        <w:pStyle w:val="7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</w:rPr>
        <w:t>四</w:t>
      </w:r>
      <w:r>
        <w:rPr>
          <w:rFonts w:hint="default" w:ascii="Times New Roman" w:hAnsi="Times New Roman" w:cs="Times New Roman"/>
        </w:rPr>
        <w:t>）各单位不得以任何形式骗取专项资金，对违反规定的单位，市财政局将全额收回已拨付款项，并按《财政违法行为处罚处分条例》（国务院令第588号）的相关规定进行处理。收到补助资金后，须按照国家有关财务、会计制度的规定进行账务处理，严格按照规定使用资金，并自觉接受资金主管部门的监督检查；对已落实支持资金的项目单位，后续检查发现问题的，予以追回，对拒不清退财政资金的，依照采取行政强制手段追缴，同时落实联合惩戒机制。</w:t>
      </w:r>
    </w:p>
    <w:p>
      <w:pPr>
        <w:pStyle w:val="7"/>
        <w:bidi w:val="0"/>
        <w:rPr>
          <w:rFonts w:hint="default" w:ascii="Times New Roman" w:hAnsi="Times New Roman" w:eastAsia="方正仿宋_GB2312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eastAsia="zh-CN"/>
        </w:rPr>
        <w:t>五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lang w:eastAsia="zh-CN"/>
        </w:rPr>
        <w:t>本申报指南由市商务局负责解释。</w:t>
      </w:r>
    </w:p>
    <w:p>
      <w:pPr>
        <w:pStyle w:val="7"/>
        <w:bidi w:val="0"/>
        <w:rPr>
          <w:rFonts w:hint="default" w:ascii="Times New Roman" w:hAnsi="Times New Roman" w:eastAsia="方正仿宋_GB2312" w:cs="Times New Roman"/>
          <w:lang w:eastAsia="zh-CN"/>
        </w:rPr>
      </w:pPr>
    </w:p>
    <w:p>
      <w:pPr>
        <w:pStyle w:val="7"/>
        <w:bidi w:val="0"/>
        <w:ind w:left="638" w:leftChars="304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附件：1.汕头市2024年促进经济高质量发展专项资金（发</w:t>
      </w:r>
    </w:p>
    <w:p>
      <w:pPr>
        <w:pStyle w:val="7"/>
        <w:bidi w:val="0"/>
        <w:ind w:left="638" w:leftChars="304" w:firstLine="1280" w:firstLineChars="4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展内贸促消费方向）消费枢纽建设资金入库申报表</w:t>
      </w:r>
    </w:p>
    <w:p>
      <w:pPr>
        <w:pStyle w:val="7"/>
        <w:bidi w:val="0"/>
        <w:ind w:firstLine="1600" w:firstLineChars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2.承诺书（模板）</w:t>
      </w:r>
    </w:p>
    <w:p>
      <w:pPr>
        <w:pStyle w:val="7"/>
        <w:bidi w:val="0"/>
        <w:ind w:firstLine="1600" w:firstLineChars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3.汕头市2024年促进经济高质量发展专项资金（发</w:t>
      </w:r>
    </w:p>
    <w:p>
      <w:pPr>
        <w:pStyle w:val="7"/>
        <w:bidi w:val="0"/>
        <w:ind w:firstLine="1920" w:firstLineChars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展内贸促消费方向）消费枢纽建设资金支出明细表</w:t>
      </w:r>
    </w:p>
    <w:p>
      <w:pPr>
        <w:pStyle w:val="7"/>
        <w:bidi w:val="0"/>
        <w:ind w:firstLine="1600" w:firstLineChars="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4.汕头市2024年促进经济高质量发展专项资金（发</w:t>
      </w:r>
    </w:p>
    <w:p>
      <w:pPr>
        <w:pStyle w:val="7"/>
        <w:bidi w:val="0"/>
        <w:ind w:firstLine="1920" w:firstLineChars="6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展内贸促消费方向）消费枢纽建设资金汇总表</w:t>
      </w:r>
    </w:p>
    <w:p>
      <w:pPr>
        <w:pStyle w:val="7"/>
        <w:bidi w:val="0"/>
        <w:rPr>
          <w:rFonts w:hint="default" w:ascii="Times New Roman" w:hAnsi="Times New Roman" w:cs="Times New Roman"/>
        </w:rPr>
      </w:pPr>
    </w:p>
    <w:p>
      <w:pPr>
        <w:pStyle w:val="7"/>
        <w:bidi w:val="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0C14370"/>
    <w:rsid w:val="0B7E0D69"/>
    <w:rsid w:val="2490624A"/>
    <w:rsid w:val="25DB4CA6"/>
    <w:rsid w:val="27D15C3D"/>
    <w:rsid w:val="368A62B3"/>
    <w:rsid w:val="40C14370"/>
    <w:rsid w:val="4B8C0B83"/>
    <w:rsid w:val="57F1421F"/>
    <w:rsid w:val="5F75450C"/>
    <w:rsid w:val="5FEE244E"/>
    <w:rsid w:val="6C124608"/>
    <w:rsid w:val="74DB2E2F"/>
    <w:rsid w:val="754F73AA"/>
    <w:rsid w:val="77C3852F"/>
    <w:rsid w:val="7BD24BA7"/>
    <w:rsid w:val="7E57C89A"/>
    <w:rsid w:val="7F5961BA"/>
    <w:rsid w:val="97AA8772"/>
    <w:rsid w:val="CFF20CCE"/>
    <w:rsid w:val="E77B2F76"/>
    <w:rsid w:val="FBB5853F"/>
    <w:rsid w:val="FFA0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4"/>
    </w:pPr>
    <w:rPr>
      <w:rFonts w:ascii="Calibri" w:hAnsi="Calibri" w:eastAsia="宋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公文正文"/>
    <w:basedOn w:val="1"/>
    <w:qFormat/>
    <w:uiPriority w:val="0"/>
    <w:pPr>
      <w:spacing w:line="600" w:lineRule="exact"/>
      <w:ind w:leftChars="0" w:firstLine="640" w:firstLineChars="200"/>
    </w:pPr>
    <w:rPr>
      <w:rFonts w:eastAsia="方正仿宋_GB2312" w:asciiTheme="minorAscii" w:hAnsiTheme="minorAscii"/>
      <w:sz w:val="32"/>
    </w:rPr>
  </w:style>
  <w:style w:type="paragraph" w:customStyle="1" w:styleId="8">
    <w:name w:val="公文标题"/>
    <w:basedOn w:val="7"/>
    <w:qFormat/>
    <w:uiPriority w:val="0"/>
    <w:pPr>
      <w:ind w:firstLine="0" w:firstLineChars="0"/>
      <w:jc w:val="center"/>
    </w:pPr>
    <w:rPr>
      <w:rFonts w:eastAsia="方正小标宋简体"/>
      <w:b/>
      <w:sz w:val="44"/>
    </w:rPr>
  </w:style>
  <w:style w:type="paragraph" w:customStyle="1" w:styleId="9">
    <w:name w:val="段落标题"/>
    <w:basedOn w:val="7"/>
    <w:qFormat/>
    <w:uiPriority w:val="0"/>
    <w:rPr>
      <w:rFonts w:eastAsia="黑体"/>
    </w:rPr>
  </w:style>
  <w:style w:type="paragraph" w:customStyle="1" w:styleId="10">
    <w:name w:val="段落首句"/>
    <w:basedOn w:val="7"/>
    <w:link w:val="11"/>
    <w:qFormat/>
    <w:uiPriority w:val="0"/>
    <w:rPr>
      <w:rFonts w:eastAsia="楷体"/>
    </w:rPr>
  </w:style>
  <w:style w:type="character" w:customStyle="1" w:styleId="11">
    <w:name w:val="段落首句 Char"/>
    <w:link w:val="10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2023-08-26T05:39:00Z</dcterms:created>
  <dc:creator>霸气宝宝</dc:creator>
  <cp:lastModifiedBy>user</cp:lastModifiedBy>
  <cp:lastPrinted>2023-08-25T17:04:33Z</cp:lastPrinted>
  <dcterms:modified xsi:type="dcterms:W3CDTF">2023-08-25T17:04:49Z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DBB1ECD8EB7648F6AF0506354474E1AC_11</vt:lpwstr>
  </property>
</Properties>
</file>