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adjustRightInd w:val="0"/>
        <w:snapToGrid w:val="0"/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Cs w:val="0"/>
          <w:color w:val="auto"/>
          <w:spacing w:val="0"/>
          <w:kern w:val="2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 w:val="0"/>
          <w:color w:val="auto"/>
          <w:spacing w:val="0"/>
          <w:kern w:val="2"/>
          <w:sz w:val="44"/>
          <w:szCs w:val="44"/>
          <w:lang w:eastAsia="zh-CN"/>
        </w:rPr>
      </w:pPr>
      <w:bookmarkStart w:id="10" w:name="_GoBack"/>
      <w:r>
        <w:rPr>
          <w:rFonts w:hint="eastAsia" w:ascii="方正小标宋简体" w:hAnsi="方正小标宋简体" w:eastAsia="方正小标宋简体" w:cs="方正小标宋简体"/>
          <w:bCs w:val="0"/>
          <w:color w:val="auto"/>
          <w:spacing w:val="0"/>
          <w:kern w:val="2"/>
          <w:sz w:val="44"/>
          <w:szCs w:val="44"/>
          <w:lang w:eastAsia="zh-CN"/>
        </w:rPr>
        <w:t>2023年度外经贸发展专项资金（开拓重点</w:t>
      </w:r>
    </w:p>
    <w:p>
      <w:pPr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 w:val="0"/>
          <w:color w:val="auto"/>
          <w:spacing w:val="0"/>
          <w:kern w:val="2"/>
          <w:sz w:val="44"/>
          <w:szCs w:val="44"/>
          <w:lang w:eastAsia="zh-CN"/>
        </w:rPr>
        <w:t>市场事项）品牌培育项目申报指南</w:t>
      </w:r>
    </w:p>
    <w:bookmarkEnd w:id="10"/>
    <w:p>
      <w:pPr>
        <w:adjustRightInd w:val="0"/>
        <w:snapToGrid w:val="0"/>
        <w:spacing w:beforeLines="0" w:afterLines="0" w:line="600" w:lineRule="exact"/>
        <w:jc w:val="center"/>
        <w:rPr>
          <w:rFonts w:hint="eastAsia" w:eastAsia="楷体"/>
          <w:b/>
          <w:sz w:val="32"/>
          <w:szCs w:val="32"/>
          <w:lang w:eastAsia="zh-CN"/>
        </w:rPr>
      </w:pP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一、支持对象</w:t>
      </w:r>
    </w:p>
    <w:p>
      <w:pPr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在我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注册登记，具有独立法人资格，近三年无严重违法违规行为，且未拖欠应缴还财政性资金的企业。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（二）申报收购境外国际品牌项目的企业还需符合以下条件：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2021年度企业交纳所得税额500万元以上、出口额在1000万美元以上；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收购品牌项目标的折合人民币1000万元以上；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累计股权收购达到100%。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（三）申报面向境外宣传推广项目的企业还需符合以下条件：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在国内拥有自主品牌且已对该品牌在境外推广地注册商标，在支持时段内已进行推广或广告投放；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2021年度珠三角地区企业年出口额达到500万美元以上；非珠三角地区企业年出口额达到300万美元以上。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二、支持时间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2022年1月1日-12月31日，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以实际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支付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时间为依据。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_GB2312" w:hAnsi="仿宋_GB2312" w:eastAsia="黑体" w:cs="仿宋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、支持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内容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对企业收购境外国际品牌和面向境外宣传推广自主品牌给予支持。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收购境外国际品牌项目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每家企业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支持比例不超过实际支出额的50%且最高支持金额不超过4,000,000元的标准予以支持。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面向境外宣传推广项目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每家企业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支持比例不超过实际支出额的50%且最高支持金额不超过2,000,000元的标准予以支持。在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以集团总部名义申报的项目中，仅对在我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注册的控股子公司项目予以支持。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四、申报材料</w:t>
      </w:r>
    </w:p>
    <w:p>
      <w:pPr>
        <w:autoSpaceDN w:val="0"/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收购境外国际品牌项目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申请报告。</w:t>
      </w:r>
    </w:p>
    <w:p>
      <w:pPr>
        <w:adjustRightInd w:val="0"/>
        <w:snapToGrid w:val="0"/>
        <w:spacing w:beforeLines="0" w:afterLines="0" w:line="600" w:lineRule="exact"/>
        <w:ind w:firstLine="641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《企业诚信信息记录》（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广东商务诚信公共服务平台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http://www.gdintegrity.com下载打印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beforeLines="0" w:afterLines="0"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品牌培育项目（收购境外国际品牌）申请表（附件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2-1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）。</w:t>
      </w:r>
    </w:p>
    <w:p>
      <w:pPr>
        <w:adjustRightInd w:val="0"/>
        <w:snapToGrid w:val="0"/>
        <w:spacing w:beforeLines="0" w:afterLines="0" w:line="60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企业营业执照。</w:t>
      </w:r>
    </w:p>
    <w:p>
      <w:pPr>
        <w:adjustRightInd w:val="0"/>
        <w:snapToGrid w:val="0"/>
        <w:spacing w:beforeLines="0" w:afterLines="0" w:line="60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经会计或审计事务所审计的申报企业及其境外全资子公司202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年度财务报表。</w:t>
      </w:r>
    </w:p>
    <w:p>
      <w:pPr>
        <w:adjustRightInd w:val="0"/>
        <w:snapToGrid w:val="0"/>
        <w:spacing w:beforeLines="0" w:afterLines="0" w:line="600" w:lineRule="exact"/>
        <w:ind w:left="0" w:hanging="320" w:hangingChars="1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申报企业或其全资子公司的收购合同以及付款凭证。</w:t>
      </w:r>
    </w:p>
    <w:p>
      <w:pPr>
        <w:adjustRightInd w:val="0"/>
        <w:snapToGrid w:val="0"/>
        <w:spacing w:beforeLines="0" w:afterLines="0" w:line="600" w:lineRule="exact"/>
        <w:ind w:left="0" w:hanging="320" w:hangingChars="1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收购项目的专项审计报告（包含但不限于营业收入额、所得税额及相关内容）。</w:t>
      </w:r>
    </w:p>
    <w:p>
      <w:pPr>
        <w:adjustRightInd w:val="0"/>
        <w:snapToGrid w:val="0"/>
        <w:spacing w:beforeLines="0" w:afterLines="0" w:line="600" w:lineRule="exact"/>
        <w:ind w:firstLine="64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境外中资企业（机构）报到登记表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beforeLines="0" w:afterLines="0" w:line="600" w:lineRule="exact"/>
        <w:ind w:firstLine="64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企业所得税额缴纳证明（含纳税金额等信息）。</w:t>
      </w:r>
    </w:p>
    <w:p>
      <w:pPr>
        <w:adjustRightInd w:val="0"/>
        <w:snapToGrid w:val="0"/>
        <w:spacing w:beforeLines="0" w:afterLines="0"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10.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商务主管部门要求的其它材料。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面向境外宣传推广项目</w:t>
      </w:r>
    </w:p>
    <w:p>
      <w:pPr>
        <w:adjustRightInd w:val="0"/>
        <w:snapToGrid w:val="0"/>
        <w:spacing w:beforeLines="0" w:afterLines="0"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申请报告。</w:t>
      </w:r>
    </w:p>
    <w:p>
      <w:pPr>
        <w:adjustRightInd w:val="0"/>
        <w:snapToGrid w:val="0"/>
        <w:spacing w:beforeLines="0" w:afterLines="0" w:line="600" w:lineRule="exact"/>
        <w:ind w:firstLine="641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《企业诚信信息记录》（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广东商务诚信公共服务平台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http://www.gdintegrity.com）下载打印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beforeLines="0" w:afterLines="0"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品牌培育项目（面向境外宣传推广）申请表（附件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2-2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）。</w:t>
      </w:r>
    </w:p>
    <w:p>
      <w:pPr>
        <w:adjustRightInd w:val="0"/>
        <w:snapToGrid w:val="0"/>
        <w:spacing w:beforeLines="0" w:afterLines="0" w:line="600" w:lineRule="exact"/>
        <w:ind w:firstLine="64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企业营业执照。</w:t>
      </w:r>
    </w:p>
    <w:p>
      <w:pPr>
        <w:adjustRightInd w:val="0"/>
        <w:snapToGrid w:val="0"/>
        <w:spacing w:beforeLines="0" w:afterLines="0"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宣传、推广活动等证明材料（现场图片或相关视频）。</w:t>
      </w:r>
    </w:p>
    <w:p>
      <w:pPr>
        <w:adjustRightInd w:val="0"/>
        <w:snapToGrid w:val="0"/>
        <w:spacing w:beforeLines="0" w:afterLines="0" w:line="60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推广合同及其费用支出凭证、发票。</w:t>
      </w:r>
    </w:p>
    <w:p>
      <w:pPr>
        <w:adjustRightInd w:val="0"/>
        <w:snapToGrid w:val="0"/>
        <w:spacing w:beforeLines="0" w:afterLines="0" w:line="60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以集团总部名义申报控股子公司项目的，提供股权关系证明。</w:t>
      </w:r>
    </w:p>
    <w:p>
      <w:pPr>
        <w:adjustRightInd w:val="0"/>
        <w:snapToGrid w:val="0"/>
        <w:spacing w:beforeLines="0" w:afterLines="0" w:line="60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项目专项审计报告（包含但不限于营业收入额、所得税额及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材料要求的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相关内容）等。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境内外品牌商标专用权或注册证明。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商务主管部门要求的其它材料。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五、有关要求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（一）材料要求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.品牌培育项目申报材料需提交一式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份，市商务局及企业（单位）均应留底备查。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.品牌培育项目专项审计报告汇总格式（附件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2-3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）对申报材料进行编号和分类整理。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审核注意事项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境外推广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费用仅认定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直接费用（包括合同约定的赞助费、媒体发行费、广告宣传活动费用等）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。间接费用（包括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支付奖金/提成、差旅费、广告测试费、储藏费、账号费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产品制作输出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、视觉设计及包装服务费、设计用图片检索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服务费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、为展厅设计和施工服务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、金品诚企服务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、定制邮件、聘请顾问咨询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、视频营销技术、视频编辑和模板素材服务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、打造爆款视频服务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、动画片海外版视频修改服务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、服务器托管费、网站建设费等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不计入境外推广费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用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13"/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2.支付时间、服务期间、发票开具时间界定。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按申报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指引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要求，以支付时间必须在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月1日-202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期间为前提。</w:t>
      </w:r>
      <w:bookmarkStart w:id="0" w:name="OLE_LINK3"/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（1）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若境外推广合同</w:t>
      </w:r>
      <w:bookmarkStart w:id="1" w:name="OLE_LINK7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服务期间</w:t>
      </w:r>
      <w:bookmarkEnd w:id="1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完全不在</w:t>
      </w:r>
      <w:bookmarkEnd w:id="0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支持期间，即使</w:t>
      </w:r>
      <w:bookmarkStart w:id="2" w:name="OLE_LINK1"/>
      <w:bookmarkStart w:id="3" w:name="OLE_LINK2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支付时间</w:t>
      </w:r>
      <w:bookmarkEnd w:id="2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月1日-202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期间</w:t>
      </w:r>
      <w:bookmarkEnd w:id="3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bookmarkStart w:id="4" w:name="OLE_LINK9"/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也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不予通过。</w:t>
      </w:r>
      <w:bookmarkEnd w:id="4"/>
      <w:bookmarkStart w:id="5" w:name="OLE_LINK10"/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（2）</w:t>
      </w:r>
      <w:bookmarkEnd w:id="5"/>
      <w:bookmarkStart w:id="6" w:name="OLE_LINK11"/>
      <w:bookmarkStart w:id="7" w:name="OLE_LINK18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若境外推广合同服务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和实际支付时间均在支持期间，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发票开具时间</w:t>
      </w:r>
      <w:bookmarkEnd w:id="6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不在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月1日-202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且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资料未</w:t>
      </w:r>
      <w:bookmarkStart w:id="8" w:name="OLE_LINK16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显示</w:t>
      </w:r>
      <w:bookmarkEnd w:id="8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服务期间</w:t>
      </w:r>
      <w:bookmarkStart w:id="9" w:name="OLE_LINK12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或显示不在支持期间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bookmarkEnd w:id="7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不予通过</w:t>
      </w:r>
      <w:bookmarkEnd w:id="9"/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发票开具时间不在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月1日-202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资料显示服务期间在支持期间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则予以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通过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spacing w:beforeLines="0" w:afterLines="0" w:line="600" w:lineRule="exact"/>
        <w:ind w:left="0" w:leftChars="0" w:firstLine="0" w:firstLineChars="0"/>
        <w:rPr>
          <w:rFonts w:hint="eastAsia"/>
        </w:rPr>
      </w:pP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2-1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.品牌培育项目（收购境外国际品牌）申请表</w:t>
      </w:r>
    </w:p>
    <w:p>
      <w:pPr>
        <w:adjustRightInd w:val="0"/>
        <w:snapToGrid w:val="0"/>
        <w:spacing w:beforeLines="0" w:afterLines="0" w:line="600" w:lineRule="exact"/>
        <w:ind w:firstLine="1600" w:firstLineChars="5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2-2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.品牌培育项目（面向境外宣传推广）申请表</w:t>
      </w:r>
    </w:p>
    <w:p>
      <w:pPr>
        <w:adjustRightInd w:val="0"/>
        <w:snapToGrid w:val="0"/>
        <w:spacing w:beforeLines="0" w:afterLines="0" w:line="600" w:lineRule="exact"/>
        <w:ind w:firstLine="1600" w:firstLineChars="5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2-3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.品牌培育项目专项审计报告汇总格式</w:t>
      </w:r>
    </w:p>
    <w:p>
      <w:pPr>
        <w:adjustRightInd w:val="0"/>
        <w:snapToGrid w:val="0"/>
        <w:spacing w:beforeLines="0" w:afterLines="0" w:line="600" w:lineRule="exact"/>
        <w:ind w:firstLine="1600" w:firstLineChars="5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2-4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.品牌培育（收购境外国际品牌）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明细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表</w:t>
      </w:r>
    </w:p>
    <w:p>
      <w:pPr>
        <w:adjustRightInd w:val="0"/>
        <w:snapToGrid w:val="0"/>
        <w:spacing w:beforeLines="0" w:afterLines="0" w:line="600" w:lineRule="exact"/>
        <w:ind w:firstLine="1600" w:firstLineChars="5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.品牌培育（面向境外宣传推广）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明细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表</w:t>
      </w:r>
    </w:p>
    <w:p>
      <w:pPr>
        <w:ind w:left="0" w:leftChars="0" w:firstLine="0" w:firstLineChars="0"/>
        <w:rPr>
          <w:rFonts w:hint="eastAsia"/>
        </w:rPr>
      </w:pPr>
    </w:p>
    <w:tbl>
      <w:tblPr>
        <w:tblStyle w:val="8"/>
        <w:tblW w:w="1001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5"/>
        <w:gridCol w:w="950"/>
        <w:gridCol w:w="1659"/>
        <w:gridCol w:w="924"/>
        <w:gridCol w:w="1015"/>
        <w:gridCol w:w="841"/>
        <w:gridCol w:w="356"/>
        <w:gridCol w:w="1510"/>
        <w:gridCol w:w="8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3" w:hRule="atLeast"/>
          <w:jc w:val="center"/>
        </w:trPr>
        <w:tc>
          <w:tcPr>
            <w:tcW w:w="1001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44"/>
                <w:lang w:val="e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44"/>
              </w:rPr>
              <w:t>附件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44"/>
                <w:lang w:val="en"/>
              </w:rPr>
              <w:t>2-1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0"/>
                <w:szCs w:val="30"/>
              </w:rPr>
              <w:t>品牌培育项目（收购境外国际品牌）申请表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453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申报单位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所属地区</w:t>
            </w:r>
          </w:p>
        </w:tc>
        <w:tc>
          <w:tcPr>
            <w:tcW w:w="3537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□珠三角 □非珠三角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5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相关指标</w:t>
            </w:r>
          </w:p>
        </w:tc>
        <w:tc>
          <w:tcPr>
            <w:tcW w:w="4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指标数据或简要说明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对应材料页码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1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2"/>
                <w:szCs w:val="22"/>
              </w:rPr>
              <w:t>一、准入指标</w:t>
            </w:r>
          </w:p>
        </w:tc>
        <w:tc>
          <w:tcPr>
            <w:tcW w:w="2609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54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28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企业注册地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25"/>
              </w:tabs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企业实际经营地址</w:t>
            </w:r>
          </w:p>
        </w:tc>
        <w:tc>
          <w:tcPr>
            <w:tcW w:w="2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5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4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 □中方全资企业    □中方控股企业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45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企业海关代码</w:t>
            </w:r>
          </w:p>
        </w:tc>
        <w:tc>
          <w:tcPr>
            <w:tcW w:w="4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45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收购时间</w:t>
            </w:r>
          </w:p>
        </w:tc>
        <w:tc>
          <w:tcPr>
            <w:tcW w:w="4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45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2"/>
                <w:szCs w:val="22"/>
              </w:rPr>
              <w:t>二、相关指标</w:t>
            </w:r>
          </w:p>
        </w:tc>
        <w:tc>
          <w:tcPr>
            <w:tcW w:w="54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5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年度销售收入（万元）</w:t>
            </w:r>
          </w:p>
        </w:tc>
        <w:tc>
          <w:tcPr>
            <w:tcW w:w="4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45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年出口额（万美元）</w:t>
            </w:r>
          </w:p>
        </w:tc>
        <w:tc>
          <w:tcPr>
            <w:tcW w:w="4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45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年一般贸易出口额（万美元）</w:t>
            </w:r>
          </w:p>
        </w:tc>
        <w:tc>
          <w:tcPr>
            <w:tcW w:w="4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45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年实缴税收（万元）</w:t>
            </w:r>
          </w:p>
        </w:tc>
        <w:tc>
          <w:tcPr>
            <w:tcW w:w="4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45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收购项目交易金额（万元）</w:t>
            </w:r>
          </w:p>
        </w:tc>
        <w:tc>
          <w:tcPr>
            <w:tcW w:w="4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45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并购价值情况</w:t>
            </w:r>
          </w:p>
        </w:tc>
        <w:tc>
          <w:tcPr>
            <w:tcW w:w="4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包括并购获得的技术、专利、品牌、营销渠道等战略性资金，并购溢价等情况（在申请报告中描述）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45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取得的成效</w:t>
            </w:r>
          </w:p>
        </w:tc>
        <w:tc>
          <w:tcPr>
            <w:tcW w:w="4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包括并购整合后的经营情况，取得的社会效益和经济效益包括并购后销售收入、比率变化、带动就业等情况，（在申请报告中描述）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45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补助资金使用计划、绩效目标</w:t>
            </w:r>
          </w:p>
        </w:tc>
        <w:tc>
          <w:tcPr>
            <w:tcW w:w="4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（在申请报告中描述）</w:t>
            </w:r>
          </w:p>
        </w:tc>
        <w:tc>
          <w:tcPr>
            <w:tcW w:w="830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5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2"/>
                <w:szCs w:val="22"/>
              </w:rPr>
              <w:t>三、申请补助金额(万元)</w:t>
            </w:r>
          </w:p>
        </w:tc>
        <w:tc>
          <w:tcPr>
            <w:tcW w:w="4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9" w:hRule="atLeast"/>
          <w:jc w:val="center"/>
        </w:trPr>
        <w:tc>
          <w:tcPr>
            <w:tcW w:w="10010" w:type="dxa"/>
            <w:gridSpan w:val="9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 xml:space="preserve">   本企业承诺近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eastAsia="zh-CN"/>
              </w:rPr>
              <w:t>三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年无严重违法违规行为并保证所提供的申报材料真实无误，如有虚假，愿意承担相关法律责任。如获专项资金资助，将按文件规定的资金使用范围和有关财务规定使用，并接受商务和财政部门的监督。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458" w:type="dxa"/>
            <w:gridSpan w:val="4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法人代表签字：</w:t>
            </w:r>
          </w:p>
        </w:tc>
        <w:tc>
          <w:tcPr>
            <w:tcW w:w="1015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企业公章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45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3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320" w:firstLineChars="600"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年     月     日</w:t>
            </w:r>
          </w:p>
        </w:tc>
      </w:tr>
    </w:tbl>
    <w:p>
      <w:r>
        <w:br w:type="page"/>
      </w:r>
    </w:p>
    <w:tbl>
      <w:tblPr>
        <w:tblStyle w:val="8"/>
        <w:tblW w:w="99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6"/>
        <w:gridCol w:w="528"/>
        <w:gridCol w:w="1421"/>
        <w:gridCol w:w="2055"/>
        <w:gridCol w:w="544"/>
        <w:gridCol w:w="165"/>
        <w:gridCol w:w="717"/>
        <w:gridCol w:w="363"/>
        <w:gridCol w:w="311"/>
        <w:gridCol w:w="1151"/>
        <w:gridCol w:w="61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8" w:hRule="atLeast"/>
          <w:jc w:val="center"/>
        </w:trPr>
        <w:tc>
          <w:tcPr>
            <w:tcW w:w="990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44"/>
                <w:lang w:val="e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44"/>
              </w:rPr>
              <w:t>附件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44"/>
                <w:lang w:val="en"/>
              </w:rPr>
              <w:t>2-2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0"/>
                <w:szCs w:val="30"/>
              </w:rPr>
              <w:t>品牌培育项目（面向境外宣传推广）申请表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申报单位</w:t>
            </w:r>
          </w:p>
        </w:tc>
        <w:tc>
          <w:tcPr>
            <w:tcW w:w="400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所属地区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□珠三角 □非珠三角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相关指标</w:t>
            </w:r>
          </w:p>
        </w:tc>
        <w:tc>
          <w:tcPr>
            <w:tcW w:w="4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指标数据或简要说明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对应材料页码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2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2"/>
                <w:szCs w:val="22"/>
              </w:rPr>
              <w:t>一、准入指标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59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25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企业注册地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561"/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企业实际经营地址</w:t>
            </w:r>
          </w:p>
        </w:tc>
        <w:tc>
          <w:tcPr>
            <w:tcW w:w="2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4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 □中方全资企业    □中方控股企业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企业海关代码</w:t>
            </w:r>
          </w:p>
        </w:tc>
        <w:tc>
          <w:tcPr>
            <w:tcW w:w="4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2"/>
                <w:szCs w:val="22"/>
              </w:rPr>
              <w:t>二、相关指标</w:t>
            </w:r>
          </w:p>
        </w:tc>
        <w:tc>
          <w:tcPr>
            <w:tcW w:w="59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年度出口额（万美元）</w:t>
            </w:r>
          </w:p>
        </w:tc>
        <w:tc>
          <w:tcPr>
            <w:tcW w:w="4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年一般贸易出口额（万美元）</w:t>
            </w:r>
          </w:p>
        </w:tc>
        <w:tc>
          <w:tcPr>
            <w:tcW w:w="4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年实缴税收（万元）</w:t>
            </w:r>
          </w:p>
        </w:tc>
        <w:tc>
          <w:tcPr>
            <w:tcW w:w="4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月-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月品牌境外推广实际投入资金（万元）</w:t>
            </w:r>
          </w:p>
        </w:tc>
        <w:tc>
          <w:tcPr>
            <w:tcW w:w="4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宣传推广项目取得的效果</w:t>
            </w:r>
          </w:p>
        </w:tc>
        <w:tc>
          <w:tcPr>
            <w:tcW w:w="4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介绍品牌、营销渠道的投入情况及所取得的社会效益和经济效益，包括商标影响力，产品的市场占有率、税收、销售收入比率等）（在申请报告中描述）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补助资金使用计划、绩效目标</w:t>
            </w:r>
          </w:p>
        </w:tc>
        <w:tc>
          <w:tcPr>
            <w:tcW w:w="2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（在申请报告中描述）</w:t>
            </w:r>
          </w:p>
        </w:tc>
        <w:tc>
          <w:tcPr>
            <w:tcW w:w="3326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2"/>
                <w:szCs w:val="22"/>
              </w:rPr>
              <w:t>三、申请补助金额(万元)</w:t>
            </w:r>
          </w:p>
        </w:tc>
        <w:tc>
          <w:tcPr>
            <w:tcW w:w="2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326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2"/>
                <w:szCs w:val="22"/>
              </w:rPr>
              <w:t>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9900" w:type="dxa"/>
            <w:gridSpan w:val="11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 xml:space="preserve">   本企业承诺近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eastAsia="zh-CN"/>
              </w:rPr>
              <w:t>三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年无严重违法违规行为并保证所提供的申报材料真实无误，如有虚假，愿意承担相关法律责任。如获专项资金资助，将按文件规定的资金使用范围和有关财务规定使用，并接受商务和财政部门的监督。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739" w:type="dxa"/>
            <w:gridSpan w:val="6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法人代表签字：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企业公章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6739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年     月     日</w:t>
            </w:r>
          </w:p>
        </w:tc>
      </w:tr>
    </w:tbl>
    <w:p>
      <w:pPr>
        <w:rPr>
          <w:vanish/>
        </w:rPr>
      </w:pPr>
    </w:p>
    <w:p>
      <w:pPr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br w:type="page"/>
      </w:r>
    </w:p>
    <w:tbl>
      <w:tblPr>
        <w:tblStyle w:val="8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401"/>
        <w:gridCol w:w="822"/>
        <w:gridCol w:w="735"/>
        <w:gridCol w:w="417"/>
        <w:gridCol w:w="1050"/>
        <w:gridCol w:w="1280"/>
        <w:gridCol w:w="762"/>
        <w:gridCol w:w="773"/>
        <w:gridCol w:w="1153"/>
        <w:gridCol w:w="12"/>
        <w:gridCol w:w="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600" w:lineRule="exact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44"/>
                <w:lang w:val="e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44"/>
              </w:rPr>
              <w:t>附件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44"/>
                <w:lang w:val="en"/>
              </w:rPr>
              <w:t>2-3</w:t>
            </w:r>
          </w:p>
          <w:p>
            <w:pPr>
              <w:rPr>
                <w:rFonts w:hint="eastAsia" w:ascii="黑体" w:hAnsi="黑体" w:eastAsia="黑体" w:cs="黑体"/>
                <w:szCs w:val="32"/>
              </w:rPr>
            </w:pPr>
          </w:p>
        </w:tc>
        <w:tc>
          <w:tcPr>
            <w:tcW w:w="543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5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0"/>
                <w:szCs w:val="30"/>
              </w:rPr>
              <w:t>品牌培育项目专项审计报告汇总格式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序号</w:t>
            </w:r>
          </w:p>
        </w:tc>
        <w:tc>
          <w:tcPr>
            <w:tcW w:w="140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 xml:space="preserve">合同编号及材料页码 </w:t>
            </w:r>
          </w:p>
        </w:tc>
        <w:tc>
          <w:tcPr>
            <w:tcW w:w="822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合同签订方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合同服务内容及合同签订时间</w:t>
            </w:r>
          </w:p>
        </w:tc>
        <w:tc>
          <w:tcPr>
            <w:tcW w:w="105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合同服务期间及合同金额</w:t>
            </w:r>
          </w:p>
        </w:tc>
        <w:tc>
          <w:tcPr>
            <w:tcW w:w="128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记帐时间、凭证编号及材料页码</w:t>
            </w:r>
          </w:p>
        </w:tc>
        <w:tc>
          <w:tcPr>
            <w:tcW w:w="762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付款日期</w:t>
            </w:r>
          </w:p>
        </w:tc>
        <w:tc>
          <w:tcPr>
            <w:tcW w:w="773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付款凭证编号及页码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发票编号、日期及材料页码</w:t>
            </w:r>
          </w:p>
        </w:tc>
        <w:tc>
          <w:tcPr>
            <w:tcW w:w="92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25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822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80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822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80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822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80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822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80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</w:tbl>
    <w:p>
      <w:pPr>
        <w:widowControl/>
        <w:spacing w:line="600" w:lineRule="exact"/>
        <w:textAlignment w:val="center"/>
        <w:rPr>
          <w:rFonts w:hint="eastAsia" w:ascii="黑体" w:hAnsi="黑体" w:eastAsia="黑体" w:cs="黑体"/>
          <w:color w:val="000000"/>
          <w:kern w:val="0"/>
          <w:sz w:val="28"/>
          <w:szCs w:val="44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eastAsia="楷体"/>
          <w:bCs/>
          <w:sz w:val="28"/>
          <w:szCs w:val="28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7C6"/>
    <w:rsid w:val="00026FE7"/>
    <w:rsid w:val="000442D7"/>
    <w:rsid w:val="00050B63"/>
    <w:rsid w:val="00073101"/>
    <w:rsid w:val="0008560F"/>
    <w:rsid w:val="00091C71"/>
    <w:rsid w:val="00095291"/>
    <w:rsid w:val="000B7564"/>
    <w:rsid w:val="000E4EB1"/>
    <w:rsid w:val="00120F09"/>
    <w:rsid w:val="00123043"/>
    <w:rsid w:val="0013053D"/>
    <w:rsid w:val="00155866"/>
    <w:rsid w:val="00166A40"/>
    <w:rsid w:val="00166EEB"/>
    <w:rsid w:val="0019005F"/>
    <w:rsid w:val="001A59F3"/>
    <w:rsid w:val="001B49D9"/>
    <w:rsid w:val="001C672F"/>
    <w:rsid w:val="002001D0"/>
    <w:rsid w:val="00211C45"/>
    <w:rsid w:val="00225FED"/>
    <w:rsid w:val="002359AA"/>
    <w:rsid w:val="002655CF"/>
    <w:rsid w:val="00284EA1"/>
    <w:rsid w:val="002938A8"/>
    <w:rsid w:val="00293B04"/>
    <w:rsid w:val="00294E18"/>
    <w:rsid w:val="0029705A"/>
    <w:rsid w:val="002B20A9"/>
    <w:rsid w:val="002C2252"/>
    <w:rsid w:val="002D534F"/>
    <w:rsid w:val="00304295"/>
    <w:rsid w:val="0032323B"/>
    <w:rsid w:val="00360F13"/>
    <w:rsid w:val="00364422"/>
    <w:rsid w:val="003802B3"/>
    <w:rsid w:val="003D6532"/>
    <w:rsid w:val="003F20C8"/>
    <w:rsid w:val="003F379B"/>
    <w:rsid w:val="004205B4"/>
    <w:rsid w:val="004246CE"/>
    <w:rsid w:val="0043261A"/>
    <w:rsid w:val="00435EF6"/>
    <w:rsid w:val="004A4B90"/>
    <w:rsid w:val="004C7A18"/>
    <w:rsid w:val="004F0736"/>
    <w:rsid w:val="004F433E"/>
    <w:rsid w:val="00516FED"/>
    <w:rsid w:val="00522480"/>
    <w:rsid w:val="0052418B"/>
    <w:rsid w:val="0055731A"/>
    <w:rsid w:val="00557721"/>
    <w:rsid w:val="005873E3"/>
    <w:rsid w:val="005A3749"/>
    <w:rsid w:val="005A668C"/>
    <w:rsid w:val="005C44B8"/>
    <w:rsid w:val="005E7043"/>
    <w:rsid w:val="006167A6"/>
    <w:rsid w:val="00630AE0"/>
    <w:rsid w:val="00632351"/>
    <w:rsid w:val="006332CE"/>
    <w:rsid w:val="00640E9B"/>
    <w:rsid w:val="00662289"/>
    <w:rsid w:val="0068036B"/>
    <w:rsid w:val="006818FA"/>
    <w:rsid w:val="0069401D"/>
    <w:rsid w:val="006A67C6"/>
    <w:rsid w:val="006E5295"/>
    <w:rsid w:val="006F1B5D"/>
    <w:rsid w:val="00701D14"/>
    <w:rsid w:val="00717D23"/>
    <w:rsid w:val="00720358"/>
    <w:rsid w:val="007357A3"/>
    <w:rsid w:val="007B3771"/>
    <w:rsid w:val="007C274B"/>
    <w:rsid w:val="007C3EB7"/>
    <w:rsid w:val="007E21D5"/>
    <w:rsid w:val="007E322C"/>
    <w:rsid w:val="007F0326"/>
    <w:rsid w:val="007F084C"/>
    <w:rsid w:val="007F0CAA"/>
    <w:rsid w:val="00810245"/>
    <w:rsid w:val="00827C71"/>
    <w:rsid w:val="00831BB4"/>
    <w:rsid w:val="0083349B"/>
    <w:rsid w:val="00840C22"/>
    <w:rsid w:val="00853654"/>
    <w:rsid w:val="00853DD6"/>
    <w:rsid w:val="00865243"/>
    <w:rsid w:val="00880673"/>
    <w:rsid w:val="008D789F"/>
    <w:rsid w:val="008F1EE1"/>
    <w:rsid w:val="0091789C"/>
    <w:rsid w:val="00931A3D"/>
    <w:rsid w:val="00934B32"/>
    <w:rsid w:val="00935FB5"/>
    <w:rsid w:val="00941D45"/>
    <w:rsid w:val="009A1794"/>
    <w:rsid w:val="009F4352"/>
    <w:rsid w:val="00A077D0"/>
    <w:rsid w:val="00A1326E"/>
    <w:rsid w:val="00A21425"/>
    <w:rsid w:val="00A30C0D"/>
    <w:rsid w:val="00A66609"/>
    <w:rsid w:val="00A91F90"/>
    <w:rsid w:val="00AB44C2"/>
    <w:rsid w:val="00AD5662"/>
    <w:rsid w:val="00AE3477"/>
    <w:rsid w:val="00AF3A8F"/>
    <w:rsid w:val="00AF5EDE"/>
    <w:rsid w:val="00B04D29"/>
    <w:rsid w:val="00B52449"/>
    <w:rsid w:val="00B63AB9"/>
    <w:rsid w:val="00B76DDC"/>
    <w:rsid w:val="00BA6382"/>
    <w:rsid w:val="00BC3D3A"/>
    <w:rsid w:val="00BC40E3"/>
    <w:rsid w:val="00BE420E"/>
    <w:rsid w:val="00C07745"/>
    <w:rsid w:val="00C22A61"/>
    <w:rsid w:val="00C36719"/>
    <w:rsid w:val="00C70800"/>
    <w:rsid w:val="00C84C27"/>
    <w:rsid w:val="00CE44C1"/>
    <w:rsid w:val="00D031B7"/>
    <w:rsid w:val="00D24B2C"/>
    <w:rsid w:val="00D46AC4"/>
    <w:rsid w:val="00D53A8F"/>
    <w:rsid w:val="00D608E4"/>
    <w:rsid w:val="00D86123"/>
    <w:rsid w:val="00DB44C2"/>
    <w:rsid w:val="00DD5BCB"/>
    <w:rsid w:val="00DF5DDD"/>
    <w:rsid w:val="00E04BC9"/>
    <w:rsid w:val="00E32754"/>
    <w:rsid w:val="00E42353"/>
    <w:rsid w:val="00E821C9"/>
    <w:rsid w:val="00E86575"/>
    <w:rsid w:val="00F21B5F"/>
    <w:rsid w:val="00F35378"/>
    <w:rsid w:val="00F52288"/>
    <w:rsid w:val="00F7593A"/>
    <w:rsid w:val="00F80E71"/>
    <w:rsid w:val="00F87300"/>
    <w:rsid w:val="00F90A09"/>
    <w:rsid w:val="00FB1B02"/>
    <w:rsid w:val="00FD7402"/>
    <w:rsid w:val="00FD7E47"/>
    <w:rsid w:val="01674D4A"/>
    <w:rsid w:val="02EF96EF"/>
    <w:rsid w:val="0D9E447D"/>
    <w:rsid w:val="0E893335"/>
    <w:rsid w:val="100241D4"/>
    <w:rsid w:val="16125DFB"/>
    <w:rsid w:val="161B1A36"/>
    <w:rsid w:val="1719131F"/>
    <w:rsid w:val="17C62D5B"/>
    <w:rsid w:val="17FF3764"/>
    <w:rsid w:val="1997652D"/>
    <w:rsid w:val="1AB55C3A"/>
    <w:rsid w:val="1BD177DB"/>
    <w:rsid w:val="1F3C495D"/>
    <w:rsid w:val="1FFCDF43"/>
    <w:rsid w:val="29B959E6"/>
    <w:rsid w:val="2A4773D4"/>
    <w:rsid w:val="2BFEC533"/>
    <w:rsid w:val="2F78CF63"/>
    <w:rsid w:val="32F5717B"/>
    <w:rsid w:val="33FE7673"/>
    <w:rsid w:val="369FAEA5"/>
    <w:rsid w:val="37AB50AC"/>
    <w:rsid w:val="37FDE159"/>
    <w:rsid w:val="3A7B0BF9"/>
    <w:rsid w:val="3C9A6BFD"/>
    <w:rsid w:val="3CDF1263"/>
    <w:rsid w:val="3D8471A9"/>
    <w:rsid w:val="3DB6020F"/>
    <w:rsid w:val="3DEE1784"/>
    <w:rsid w:val="3EFBDDC4"/>
    <w:rsid w:val="3EFCDE4D"/>
    <w:rsid w:val="3F7F24D6"/>
    <w:rsid w:val="3FD7835E"/>
    <w:rsid w:val="3FDF7385"/>
    <w:rsid w:val="3FFE26BA"/>
    <w:rsid w:val="3FFF09B6"/>
    <w:rsid w:val="3FFFBECA"/>
    <w:rsid w:val="42BC7A7F"/>
    <w:rsid w:val="43F4270F"/>
    <w:rsid w:val="483F70DA"/>
    <w:rsid w:val="4A286CF1"/>
    <w:rsid w:val="4AD46B98"/>
    <w:rsid w:val="4BE04520"/>
    <w:rsid w:val="4D2D068E"/>
    <w:rsid w:val="4F5F3D20"/>
    <w:rsid w:val="4F7DFE30"/>
    <w:rsid w:val="4FEF12F7"/>
    <w:rsid w:val="4FFDB9D7"/>
    <w:rsid w:val="4FFFF4E6"/>
    <w:rsid w:val="52B34129"/>
    <w:rsid w:val="561E7312"/>
    <w:rsid w:val="57FFAB15"/>
    <w:rsid w:val="590D0F38"/>
    <w:rsid w:val="593BABC3"/>
    <w:rsid w:val="5B6F154F"/>
    <w:rsid w:val="5BCF5223"/>
    <w:rsid w:val="5BF37E84"/>
    <w:rsid w:val="5BFF3BE7"/>
    <w:rsid w:val="5C5A64E5"/>
    <w:rsid w:val="5CDBEC8F"/>
    <w:rsid w:val="5D3F61C9"/>
    <w:rsid w:val="5DB7D2E8"/>
    <w:rsid w:val="5E725EE7"/>
    <w:rsid w:val="5F7C4504"/>
    <w:rsid w:val="5FD8F92E"/>
    <w:rsid w:val="5FDF1CAA"/>
    <w:rsid w:val="5FF70A92"/>
    <w:rsid w:val="5FFB6B3B"/>
    <w:rsid w:val="5FFF9A7E"/>
    <w:rsid w:val="606DAFF0"/>
    <w:rsid w:val="63B7C644"/>
    <w:rsid w:val="63BF682A"/>
    <w:rsid w:val="63EAED3D"/>
    <w:rsid w:val="650D4971"/>
    <w:rsid w:val="652D62D1"/>
    <w:rsid w:val="67B5D975"/>
    <w:rsid w:val="67DA6A15"/>
    <w:rsid w:val="68DFC29E"/>
    <w:rsid w:val="6AEBB1E6"/>
    <w:rsid w:val="6B7F8A73"/>
    <w:rsid w:val="6BBC3A4D"/>
    <w:rsid w:val="6CFF6FF3"/>
    <w:rsid w:val="6DA74376"/>
    <w:rsid w:val="6DEFB4F7"/>
    <w:rsid w:val="6F17E8CB"/>
    <w:rsid w:val="6F67431E"/>
    <w:rsid w:val="6F6763A3"/>
    <w:rsid w:val="6F7F7608"/>
    <w:rsid w:val="6FB6C25A"/>
    <w:rsid w:val="6FDE02A2"/>
    <w:rsid w:val="6FED6907"/>
    <w:rsid w:val="71F56EC2"/>
    <w:rsid w:val="73F7392A"/>
    <w:rsid w:val="7677B390"/>
    <w:rsid w:val="773F0AE7"/>
    <w:rsid w:val="7747798E"/>
    <w:rsid w:val="779BD03E"/>
    <w:rsid w:val="77EF5A63"/>
    <w:rsid w:val="77FFF242"/>
    <w:rsid w:val="78143322"/>
    <w:rsid w:val="79DB7B3E"/>
    <w:rsid w:val="79DFE595"/>
    <w:rsid w:val="7AB218E8"/>
    <w:rsid w:val="7B8C19CD"/>
    <w:rsid w:val="7B97914B"/>
    <w:rsid w:val="7B9FEAE3"/>
    <w:rsid w:val="7BB7DF92"/>
    <w:rsid w:val="7BCEB124"/>
    <w:rsid w:val="7BFBA183"/>
    <w:rsid w:val="7CADA35A"/>
    <w:rsid w:val="7D3EEB7C"/>
    <w:rsid w:val="7DD87931"/>
    <w:rsid w:val="7DDF6283"/>
    <w:rsid w:val="7DF7B56D"/>
    <w:rsid w:val="7DFD020A"/>
    <w:rsid w:val="7DFDB883"/>
    <w:rsid w:val="7E7F9319"/>
    <w:rsid w:val="7E95270A"/>
    <w:rsid w:val="7ED6D7D9"/>
    <w:rsid w:val="7F5FEFF2"/>
    <w:rsid w:val="7F7F058C"/>
    <w:rsid w:val="7F860FEC"/>
    <w:rsid w:val="7FA789DC"/>
    <w:rsid w:val="7FDBFC90"/>
    <w:rsid w:val="7FDCE722"/>
    <w:rsid w:val="7FE7CAEC"/>
    <w:rsid w:val="7FEF0E7F"/>
    <w:rsid w:val="7FF1336E"/>
    <w:rsid w:val="7FF62C87"/>
    <w:rsid w:val="7FFF331D"/>
    <w:rsid w:val="827328DE"/>
    <w:rsid w:val="8C8C33F9"/>
    <w:rsid w:val="8CEB9B8D"/>
    <w:rsid w:val="92F7442E"/>
    <w:rsid w:val="9ABA3E96"/>
    <w:rsid w:val="9BEFEF93"/>
    <w:rsid w:val="9FB7E6B5"/>
    <w:rsid w:val="A9FE6A6E"/>
    <w:rsid w:val="AB266FAB"/>
    <w:rsid w:val="AB3B4E43"/>
    <w:rsid w:val="ABEEE8D9"/>
    <w:rsid w:val="AD5385C6"/>
    <w:rsid w:val="ADF76853"/>
    <w:rsid w:val="ADFFA545"/>
    <w:rsid w:val="AEEDBBEB"/>
    <w:rsid w:val="AFB653ED"/>
    <w:rsid w:val="B7BF221A"/>
    <w:rsid w:val="B7EE0921"/>
    <w:rsid w:val="B7FE2320"/>
    <w:rsid w:val="B93C4018"/>
    <w:rsid w:val="BBF793FF"/>
    <w:rsid w:val="BC1D689F"/>
    <w:rsid w:val="BCFEA918"/>
    <w:rsid w:val="BDFFCB8E"/>
    <w:rsid w:val="BEDEA55B"/>
    <w:rsid w:val="BEE681B2"/>
    <w:rsid w:val="BF373DA2"/>
    <w:rsid w:val="BF792C34"/>
    <w:rsid w:val="C7E74CA2"/>
    <w:rsid w:val="C7EF43CC"/>
    <w:rsid w:val="C7FF152B"/>
    <w:rsid w:val="CEFF20CF"/>
    <w:rsid w:val="CFCB4A8F"/>
    <w:rsid w:val="CFFE2780"/>
    <w:rsid w:val="CFFF62C2"/>
    <w:rsid w:val="D3F75CEE"/>
    <w:rsid w:val="D68F93B5"/>
    <w:rsid w:val="D7F513F5"/>
    <w:rsid w:val="DAFD0289"/>
    <w:rsid w:val="DB8FF09E"/>
    <w:rsid w:val="DBDFD150"/>
    <w:rsid w:val="DD3D9770"/>
    <w:rsid w:val="DDF5DC3E"/>
    <w:rsid w:val="DDFA5BC0"/>
    <w:rsid w:val="DE76B136"/>
    <w:rsid w:val="DE7E9E28"/>
    <w:rsid w:val="DEF4F81D"/>
    <w:rsid w:val="DF77D119"/>
    <w:rsid w:val="DFBE97B7"/>
    <w:rsid w:val="DFCF37ED"/>
    <w:rsid w:val="DFDF4870"/>
    <w:rsid w:val="DFFB51AC"/>
    <w:rsid w:val="DFFFCB9D"/>
    <w:rsid w:val="E3FBD7B0"/>
    <w:rsid w:val="E6F8218A"/>
    <w:rsid w:val="E7F9D409"/>
    <w:rsid w:val="E8FFF05B"/>
    <w:rsid w:val="EBF79D6B"/>
    <w:rsid w:val="ECFFFF65"/>
    <w:rsid w:val="ED3F0E97"/>
    <w:rsid w:val="EDDCEB53"/>
    <w:rsid w:val="EF8B70D4"/>
    <w:rsid w:val="EFECD174"/>
    <w:rsid w:val="EFF3CB42"/>
    <w:rsid w:val="F3DF4A24"/>
    <w:rsid w:val="F6DD6CF4"/>
    <w:rsid w:val="F71B813B"/>
    <w:rsid w:val="F76FB8ED"/>
    <w:rsid w:val="F78D37A4"/>
    <w:rsid w:val="F7E3491E"/>
    <w:rsid w:val="F7EE6885"/>
    <w:rsid w:val="F7FB325D"/>
    <w:rsid w:val="F8F7A3ED"/>
    <w:rsid w:val="F97714D6"/>
    <w:rsid w:val="F9EF7075"/>
    <w:rsid w:val="F9FAC328"/>
    <w:rsid w:val="FA93EE12"/>
    <w:rsid w:val="FB9F84A7"/>
    <w:rsid w:val="FBD71B40"/>
    <w:rsid w:val="FBF71230"/>
    <w:rsid w:val="FBFDB759"/>
    <w:rsid w:val="FCBD749A"/>
    <w:rsid w:val="FD055894"/>
    <w:rsid w:val="FD7FD13E"/>
    <w:rsid w:val="FDDB516D"/>
    <w:rsid w:val="FDDBA032"/>
    <w:rsid w:val="FDFF5E74"/>
    <w:rsid w:val="FEDBD66C"/>
    <w:rsid w:val="FEE751D4"/>
    <w:rsid w:val="FEE9E3D3"/>
    <w:rsid w:val="FEEEA72F"/>
    <w:rsid w:val="FEEFA08D"/>
    <w:rsid w:val="FEFD93F4"/>
    <w:rsid w:val="FF3E1CC6"/>
    <w:rsid w:val="FF4C921D"/>
    <w:rsid w:val="FF7FF4C8"/>
    <w:rsid w:val="FFBD0C7D"/>
    <w:rsid w:val="FFBE071C"/>
    <w:rsid w:val="FFBF544C"/>
    <w:rsid w:val="FFCE2C83"/>
    <w:rsid w:val="FFCF316F"/>
    <w:rsid w:val="FFDF7F86"/>
    <w:rsid w:val="FFDFC86A"/>
    <w:rsid w:val="FFE74980"/>
    <w:rsid w:val="FFEFE157"/>
    <w:rsid w:val="FFF9E31B"/>
    <w:rsid w:val="FFFB81E4"/>
    <w:rsid w:val="FFFF1CDE"/>
    <w:rsid w:val="FF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5"/>
    <w:qFormat/>
    <w:uiPriority w:val="1"/>
    <w:pPr>
      <w:ind w:left="744"/>
      <w:jc w:val="left"/>
    </w:pPr>
    <w:rPr>
      <w:rFonts w:ascii="宋体" w:hAnsi="宋体" w:cstheme="minorBidi"/>
      <w:kern w:val="0"/>
      <w:sz w:val="32"/>
      <w:szCs w:val="32"/>
      <w:lang w:eastAsia="en-US"/>
    </w:rPr>
  </w:style>
  <w:style w:type="paragraph" w:styleId="3">
    <w:name w:val="Body Text 2"/>
    <w:basedOn w:val="1"/>
    <w:qFormat/>
    <w:uiPriority w:val="99"/>
    <w:pPr>
      <w:spacing w:before="240"/>
    </w:pPr>
    <w:rPr>
      <w:color w:val="FF0000"/>
      <w:kern w:val="0"/>
    </w:r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5">
    <w:name w:val="正文文本 Char"/>
    <w:basedOn w:val="10"/>
    <w:link w:val="2"/>
    <w:qFormat/>
    <w:uiPriority w:val="1"/>
    <w:rPr>
      <w:rFonts w:ascii="宋体" w:hAnsi="宋体" w:eastAsia="宋体"/>
      <w:kern w:val="0"/>
      <w:sz w:val="32"/>
      <w:szCs w:val="32"/>
      <w:lang w:eastAsia="en-US"/>
    </w:rPr>
  </w:style>
  <w:style w:type="character" w:customStyle="1" w:styleId="16">
    <w:name w:val="font01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7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387</Words>
  <Characters>2212</Characters>
  <Lines>18</Lines>
  <Paragraphs>5</Paragraphs>
  <TotalTime>5</TotalTime>
  <ScaleCrop>false</ScaleCrop>
  <LinksUpToDate>false</LinksUpToDate>
  <CharactersWithSpaces>2594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2021-02-27T22:18:00Z</dcterms:created>
  <dc:creator>彩霞</dc:creator>
  <cp:lastModifiedBy>WPS_252634373</cp:lastModifiedBy>
  <dcterms:modified xsi:type="dcterms:W3CDTF">2023-01-18T21:58:06Z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33146E1CCFA4CBACE0198763C8CF0587</vt:lpwstr>
  </property>
</Properties>
</file>