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Times New Roman"/>
          <w:snapToGrid w:val="0"/>
          <w:spacing w:val="-4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40" w:lineRule="atLeast"/>
        <w:ind w:firstLine="184" w:firstLineChars="200"/>
        <w:rPr>
          <w:rFonts w:hint="eastAsia" w:ascii="仿宋_GB2312" w:hAnsi="Tahoma" w:eastAsia="仿宋_GB2312" w:cs="Times New Roman"/>
          <w:snapToGrid w:val="0"/>
          <w:spacing w:val="-4"/>
          <w:sz w:val="10"/>
          <w:szCs w:val="10"/>
        </w:rPr>
      </w:pPr>
    </w:p>
    <w:p>
      <w:pPr>
        <w:adjustRightInd w:val="0"/>
        <w:snapToGrid w:val="0"/>
        <w:spacing w:line="240" w:lineRule="atLeast"/>
        <w:jc w:val="center"/>
        <w:rPr>
          <w:rFonts w:hint="default" w:ascii="创艺简标宋" w:hAnsi="Tahoma" w:eastAsia="创艺简标宋" w:cs="Times New Roman"/>
          <w:snapToGrid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sz w:val="44"/>
          <w:szCs w:val="44"/>
          <w:lang w:eastAsia="zh-CN"/>
        </w:rPr>
        <w:t>汕头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4"/>
          <w:sz w:val="44"/>
          <w:szCs w:val="44"/>
        </w:rPr>
        <w:t>市2025年“锦汕添花”促消费活动自评表</w:t>
      </w:r>
    </w:p>
    <w:p>
      <w:pPr>
        <w:adjustRightInd w:val="0"/>
        <w:snapToGrid w:val="0"/>
        <w:spacing w:line="240" w:lineRule="atLeast"/>
        <w:ind w:firstLine="184" w:firstLineChars="200"/>
        <w:jc w:val="both"/>
        <w:rPr>
          <w:rFonts w:hint="eastAsia" w:ascii="仿宋_GB2312" w:hAnsi="Tahoma" w:eastAsia="仿宋_GB2312" w:cs="Times New Roman"/>
          <w:snapToGrid w:val="0"/>
          <w:spacing w:val="-4"/>
          <w:sz w:val="10"/>
          <w:szCs w:val="10"/>
        </w:rPr>
      </w:pPr>
    </w:p>
    <w:tbl>
      <w:tblPr>
        <w:tblStyle w:val="4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77"/>
        <w:gridCol w:w="709"/>
        <w:gridCol w:w="8329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  <w:t>评分指标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  <w:t>具体评分办法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t>带动范围</w:t>
            </w: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（20分）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参与商户数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按联动的商户、企业数量赋分。（10家以内得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分；10-20家得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分；20-30家得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分；30家以上得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分。）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t>影响力强</w:t>
            </w: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（30分）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企业影响力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按企业的影响力赋分。（在全市范围内有较大影响力得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分；在全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范</w:t>
            </w:r>
            <w:bookmarkStart w:id="0" w:name="_GoBack"/>
            <w:bookmarkEnd w:id="0"/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围内有影响力得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分。）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活动影响力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按宣传推广力度赋分。（制作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一定规模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物料在公共场宣传得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5分；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在参加活动的商家内部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（含社群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宣传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分；在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抖音、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公众号、视频号等平台宣传得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分；在电视台、电台等官方媒体推广宣传得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t>策划</w:t>
            </w: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40分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  <w:t>10分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按活动内容（促销、商文旅融合、夜间经济、绿色经济、银发经济等经济形式）赋分。（仅一类不得分；一类以上得10分）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方案内容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  <w:t>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按活动方案内容赋分。（没有活动方案不得分；制定简单活动方案得5分；制定较为详尽的活动方案得10分）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周期计划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活动阶段性规划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赋分。（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提供1天及以内活动规划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得5分；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提供2天以内活动规划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提供3天以内活动规划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提供4天或以上活动规划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分。）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t>活动投入</w:t>
            </w: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  <w:lang w:eastAsia="zh-CN"/>
              </w:rPr>
              <w:t>预算成本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按活动投入资金赋分。（10万元以内得5分；10-20万元得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分；20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以上得</w:t>
            </w:r>
            <w:r>
              <w:rPr>
                <w:rFonts w:hint="default" w:ascii="仿宋_GB2312" w:hAnsi="Tahoma" w:eastAsia="仿宋_GB2312" w:cs="Times New Roman"/>
                <w:snapToGrid w:val="0"/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  <w:lang w:val="en-US" w:eastAsia="zh-CN"/>
              </w:rPr>
              <w:t>分。）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</w:rPr>
              <w:t>总分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b w:val="0"/>
                <w:bCs w:val="0"/>
                <w:snapToGrid w:val="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  <w:t>100%</w:t>
            </w:r>
          </w:p>
        </w:tc>
        <w:tc>
          <w:tcPr>
            <w:tcW w:w="83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ahoma" w:eastAsia="仿宋_GB2312" w:cs="Times New Roman"/>
                <w:snapToGrid w:val="0"/>
                <w:spacing w:val="-4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16DE"/>
    <w:rsid w:val="2FEB922D"/>
    <w:rsid w:val="3FCA050E"/>
    <w:rsid w:val="50C416DE"/>
    <w:rsid w:val="5E63F67D"/>
    <w:rsid w:val="7FAF50B2"/>
    <w:rsid w:val="F6DF6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572</Words>
  <Characters>666</Characters>
  <Lines>0</Lines>
  <Paragraphs>0</Paragraphs>
  <TotalTime>15.6666666666667</TotalTime>
  <ScaleCrop>false</ScaleCrop>
  <LinksUpToDate>false</LinksUpToDate>
  <CharactersWithSpaces>668</CharactersWithSpaces>
  <Application>WPS Office_11.8.2.10659_F1E327BC-269C-435d-A152-05C5408002CA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2025-02-13T01:54:00Z</dcterms:created>
  <dc:creator>桃不够酸</dc:creator>
  <cp:lastModifiedBy>user</cp:lastModifiedBy>
  <cp:lastPrinted>2025-02-25T03:35:56Z</cp:lastPrinted>
  <dcterms:modified xsi:type="dcterms:W3CDTF">2025-02-26T17:04:33Z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  <property fmtid="{D5CDD505-2E9C-101B-9397-08002B2CF9AE}" pid="3" name="ICV">
    <vt:lpwstr>691EF55F72DB417E872D06D5B823C216_11</vt:lpwstr>
  </property>
  <property fmtid="{D5CDD505-2E9C-101B-9397-08002B2CF9AE}" pid="4" name="KSOTemplateDocerSaveRecord">
    <vt:lpwstr>eyJoZGlkIjoiYjQwMjAzOTkzZWJiYjFmZjRkYTYwZDAxNWRmOTQ5YWIiLCJ1c2VySWQiOiI1MjM1Njk3MzAifQ==</vt:lpwstr>
  </property>
</Properties>
</file>