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年度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部门联合检查记录表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vertAlign w:val="baseli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  <w:t>检查日期：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年   月   日</w:t>
      </w:r>
    </w:p>
    <w:tbl>
      <w:tblPr>
        <w:tblStyle w:val="4"/>
        <w:tblW w:w="9600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25"/>
        <w:gridCol w:w="1633"/>
        <w:gridCol w:w="123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86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检查对象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基本情况</w:t>
            </w:r>
          </w:p>
        </w:tc>
        <w:tc>
          <w:tcPr>
            <w:tcW w:w="1725" w:type="dxa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5689" w:type="dxa"/>
            <w:gridSpan w:val="3"/>
          </w:tcPr>
          <w:p>
            <w:p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568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8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22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186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执法人员姓名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及执法证号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市场监管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5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应急管理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56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生态环境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56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任务来源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  <w:t>（任务名称）</w:t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  <w:t>根据检查情况打</w:t>
            </w:r>
            <w:r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实地检查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书面检查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网络检查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21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1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186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联合检查意见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市场监管部门意见：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应急管理部门意见：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生态环境部门意见：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86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牵头部门意见</w:t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111111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2186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企业法定代表人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（或负责人）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签名</w:t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111111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0"/>
          <w:szCs w:val="22"/>
          <w:lang w:eastAsia="zh-CN"/>
        </w:rPr>
      </w:pPr>
    </w:p>
    <w:p/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0EA08"/>
    <w:multiLevelType w:val="singleLevel"/>
    <w:tmpl w:val="CB70EA08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B62BB"/>
    <w:rsid w:val="25FB49C1"/>
    <w:rsid w:val="26B749A3"/>
    <w:rsid w:val="2DE408EE"/>
    <w:rsid w:val="456B62BB"/>
    <w:rsid w:val="482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2022-11-28T08:55:00Z</dcterms:created>
  <dc:creator>林秋</dc:creator>
  <cp:lastModifiedBy>邱钰玲</cp:lastModifiedBy>
  <dcterms:modified xsi:type="dcterms:W3CDTF">2023-01-12T08:16:30Z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