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75606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  <w:vAlign w:val="top"/>
          </w:tcPr>
          <w:p w14:paraId="5AB7DD4C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  <w:vAlign w:val="top"/>
          </w:tcPr>
          <w:p w14:paraId="6B41C637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60.020.20"/>
                  </w:textInput>
                </w:ffData>
              </w:fldChar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t>60.020.20</w:t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</w:tc>
      </w:tr>
      <w:tr w14:paraId="677B1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  <w:vAlign w:val="top"/>
          </w:tcPr>
          <w:p w14:paraId="480461AD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  <w:vAlign w:val="top"/>
          </w:tcPr>
          <w:p w14:paraId="5E75575C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B 31"/>
                  </w:textInput>
                </w:ffData>
              </w:fldChar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t>B 31</w:t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</w:tc>
      </w:tr>
    </w:tbl>
    <w:tbl>
      <w:tblPr>
        <w:tblStyle w:val="29"/>
        <w:tblpPr w:leftFromText="180" w:rightFromText="180" w:vertAnchor="text" w:horzAnchor="margin" w:tblpX="2683" w:tblpY="578"/>
        <w:tblW w:w="64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71B9D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226C757A">
            <w:pPr>
              <w:pStyle w:val="52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0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c1"/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fldChar w:fldCharType="begin">
                <w:ffData>
                  <w:name w:val="c1"/>
                  <w:enabled/>
                  <w:calcOnExit w:val="0"/>
                  <w:textInput>
                    <w:default w:val="4405"/>
                    <w:maxLength w:val="8"/>
                  </w:textInput>
                </w:ffData>
              </w:fldChar>
            </w:r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instrText xml:space="preserve">FORMTEXT</w:instrText>
            </w:r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t>4405</w:t>
            </w:r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fldChar w:fldCharType="end"/>
            </w:r>
            <w:bookmarkEnd w:id="1"/>
          </w:p>
        </w:tc>
      </w:tr>
    </w:tbl>
    <w:p w14:paraId="4BEB1F46">
      <w:pPr>
        <w:pStyle w:val="53"/>
        <w:framePr w:w="9639" w:h="624" w:hRule="exact" w:hSpace="181" w:vSpace="181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bookmarkStart w:id="2" w:name="c2"/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fldChar w:fldCharType="begin">
          <w:ffData>
            <w:name w:val="c2"/>
            <w:enabled/>
            <w:calcOnExit w:val="0"/>
            <w:textInput>
              <w:default w:val="汕头市"/>
            </w:textInput>
          </w:ffData>
        </w:fldChar>
      </w:r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instrText xml:space="preserve">FORMTEXT</w:instrText>
      </w:r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fldChar w:fldCharType="separate"/>
      </w:r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t>汕头市</w:t>
      </w:r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fldChar w:fldCharType="end"/>
      </w:r>
      <w:bookmarkEnd w:id="2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0"/>
    <w:p w14:paraId="08360BD8">
      <w:pPr>
        <w:pStyle w:val="198"/>
        <w:rPr>
          <w:rFonts w:hint="eastAsia" w:eastAsia="黑体"/>
          <w:lang w:val="en-US" w:eastAsia="zh-CN"/>
        </w:rPr>
      </w:pPr>
      <w:r>
        <w:rPr>
          <w:lang w:val="fr-FR"/>
        </w:rPr>
        <w:t>DB</w:t>
      </w:r>
      <w:bookmarkStart w:id="3" w:name="文字1"/>
      <w:r>
        <w:rPr>
          <w:rFonts w:ascii="黑体" w:hAnsi="Times New Roman" w:eastAsia="黑体" w:cs="Times New Roman"/>
          <w:bCs/>
          <w:sz w:val="28"/>
          <w:szCs w:val="28"/>
          <w:lang w:val="fr-FR" w:eastAsia="zh-CN" w:bidi="ar-SA"/>
        </w:rPr>
        <w:fldChar w:fldCharType="begin">
          <w:ffData>
            <w:name w:val="文字1"/>
            <w:enabled/>
            <w:calcOnExit w:val="0"/>
            <w:textInput>
              <w:default w:val="4405/T"/>
            </w:textInput>
          </w:ffData>
        </w:fldChar>
      </w:r>
      <w:r>
        <w:rPr>
          <w:rFonts w:ascii="黑体" w:hAnsi="Times New Roman" w:eastAsia="黑体" w:cs="Times New Roman"/>
          <w:bCs/>
          <w:sz w:val="28"/>
          <w:szCs w:val="28"/>
          <w:lang w:val="fr-FR" w:eastAsia="zh-CN" w:bidi="ar-SA"/>
        </w:rPr>
        <w:instrText xml:space="preserve">FORMTEXT</w:instrText>
      </w:r>
      <w:r>
        <w:rPr>
          <w:rFonts w:ascii="黑体" w:hAnsi="Times New Roman" w:eastAsia="黑体" w:cs="Times New Roman"/>
          <w:bCs/>
          <w:sz w:val="28"/>
          <w:szCs w:val="28"/>
          <w:lang w:val="fr-FR" w:eastAsia="zh-CN" w:bidi="ar-SA"/>
        </w:rPr>
        <w:fldChar w:fldCharType="separate"/>
      </w:r>
      <w:r>
        <w:rPr>
          <w:rFonts w:ascii="黑体" w:hAnsi="Times New Roman" w:eastAsia="黑体" w:cs="Times New Roman"/>
          <w:bCs/>
          <w:sz w:val="28"/>
          <w:szCs w:val="28"/>
          <w:lang w:val="fr-FR" w:eastAsia="zh-CN" w:bidi="ar-SA"/>
        </w:rPr>
        <w:t>4405/T</w:t>
      </w:r>
      <w:r>
        <w:rPr>
          <w:rFonts w:ascii="黑体" w:hAnsi="Times New Roman" w:eastAsia="黑体" w:cs="Times New Roman"/>
          <w:bCs/>
          <w:sz w:val="28"/>
          <w:szCs w:val="28"/>
          <w:lang w:val="fr-FR" w:eastAsia="zh-CN" w:bidi="ar-SA"/>
        </w:rPr>
        <w:fldChar w:fldCharType="end"/>
      </w:r>
      <w:bookmarkEnd w:id="3"/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>00</w:t>
      </w:r>
      <w:r>
        <w:rPr>
          <w:rFonts w:hAnsi="黑体"/>
          <w:lang w:val="fr-FR"/>
        </w:rPr>
        <w:t>—</w:t>
      </w:r>
      <w:r>
        <w:t>202</w:t>
      </w:r>
      <w:r>
        <w:rPr>
          <w:rFonts w:hint="eastAsia"/>
          <w:lang w:val="en-US" w:eastAsia="zh-CN"/>
        </w:rPr>
        <w:t>4</w:t>
      </w:r>
    </w:p>
    <w:p w14:paraId="627880D9">
      <w:pPr>
        <w:pStyle w:val="199"/>
        <w:rPr>
          <w:rFonts w:hAnsi="黑体"/>
        </w:rPr>
      </w:pPr>
      <w:bookmarkStart w:id="4" w:name="OSTD_CODE"/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fldChar w:fldCharType="begin">
          <w:ffData>
            <w:name w:val="OSTD_CODE"/>
            <w:enabled/>
            <w:calcOnExit w:val="0"/>
            <w:textInput>
              <w:default w:val="代替 ＤＮＢ440500/Ｔ20－2019 "/>
            </w:textInput>
          </w:ffData>
        </w:fldChar>
      </w:r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instrText xml:space="preserve">FORMTEXT</w:instrText>
      </w:r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fldChar w:fldCharType="separate"/>
      </w:r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t>代替 ＤＢ440500/Ｔ20－2019 </w:t>
      </w:r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fldChar w:fldCharType="end"/>
      </w:r>
      <w:bookmarkEnd w:id="4"/>
    </w:p>
    <w:p w14:paraId="120E608C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3C0BF393">
      <w:pPr>
        <w:pStyle w:val="53"/>
        <w:framePr w:w="9639" w:h="6976" w:hRule="exact" w:hSpace="0" w:vSpace="0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51144945">
      <w:pPr>
        <w:pStyle w:val="200"/>
        <w:framePr w:h="6974" w:hRule="exact" w:x="1419" w:anchorLock="1"/>
      </w:pPr>
      <w:bookmarkStart w:id="5" w:name="CSTD_NAME"/>
      <w:r>
        <w:rPr>
          <w:rFonts w:ascii="黑体" w:hAnsi="黑体" w:eastAsia="黑体" w:cs="Times New Roman"/>
          <w:bCs/>
          <w:sz w:val="52"/>
          <w:lang w:val="en-US" w:eastAsia="zh-CN" w:bidi="ar-SA"/>
        </w:rPr>
        <w:fldChar w:fldCharType="begin">
          <w:ffData>
            <w:name w:val="CSTD_NAME"/>
            <w:enabled/>
            <w:calcOnExit w:val="0"/>
            <w:textInput>
              <w:default w:val="蜜本南瓜栽培技术规程"/>
            </w:textInput>
          </w:ffData>
        </w:fldChar>
      </w:r>
      <w:r>
        <w:rPr>
          <w:rFonts w:ascii="黑体" w:hAnsi="黑体" w:eastAsia="黑体" w:cs="Times New Roman"/>
          <w:bCs/>
          <w:sz w:val="52"/>
          <w:lang w:val="en-US" w:eastAsia="zh-CN" w:bidi="ar-SA"/>
        </w:rPr>
        <w:instrText xml:space="preserve">FORMTEXT</w:instrText>
      </w:r>
      <w:r>
        <w:rPr>
          <w:rFonts w:ascii="黑体" w:hAnsi="黑体" w:eastAsia="黑体" w:cs="Times New Roman"/>
          <w:bCs/>
          <w:sz w:val="52"/>
          <w:lang w:val="en-US" w:eastAsia="zh-CN" w:bidi="ar-SA"/>
        </w:rPr>
        <w:fldChar w:fldCharType="separate"/>
      </w:r>
      <w:r>
        <w:rPr>
          <w:rFonts w:ascii="黑体" w:hAnsi="黑体" w:eastAsia="黑体" w:cs="Times New Roman"/>
          <w:bCs/>
          <w:sz w:val="52"/>
          <w:lang w:val="en-US" w:eastAsia="zh-CN" w:bidi="ar-SA"/>
        </w:rPr>
        <w:t>蜜本南瓜栽培技术规程</w:t>
      </w:r>
      <w:r>
        <w:rPr>
          <w:rFonts w:ascii="黑体" w:hAnsi="黑体" w:eastAsia="黑体" w:cs="Times New Roman"/>
          <w:bCs/>
          <w:sz w:val="52"/>
          <w:lang w:val="en-US" w:eastAsia="zh-CN" w:bidi="ar-SA"/>
        </w:rPr>
        <w:fldChar w:fldCharType="end"/>
      </w:r>
      <w:bookmarkEnd w:id="5"/>
    </w:p>
    <w:p w14:paraId="2B2DFB51">
      <w:pPr>
        <w:framePr w:w="9639" w:h="6974" w:hRule="exact" w:wrap="around" w:vAnchor="page" w:hAnchor="page" w:x="1419" w:y="6408" w:anchorLock="1"/>
        <w:ind w:left="-1418"/>
      </w:pPr>
    </w:p>
    <w:p w14:paraId="12149515">
      <w:pPr>
        <w:pStyle w:val="128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bookmarkStart w:id="6" w:name="ESTD_NAME"/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fldChar w:fldCharType="begin">
          <w:ffData>
            <w:name w:val="ESTD_NAME"/>
            <w:enabled/>
            <w:calcOnExit w:val="0"/>
            <w:textInput>
              <w:default w:val="（报批稿）"/>
            </w:textInput>
          </w:ffData>
        </w:fldChar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instrText xml:space="preserve">FORMTEXT</w:instrTex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t>（报批稿）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fldChar w:fldCharType="end"/>
      </w:r>
      <w:bookmarkEnd w:id="6"/>
    </w:p>
    <w:p w14:paraId="20D96AB4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1ADBC4DA">
      <w:pPr>
        <w:pStyle w:val="128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267243D2">
      <w:pPr>
        <w:pStyle w:val="128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t xml:space="preserve"> </w:t>
      </w:r>
    </w:p>
    <w:p w14:paraId="132E90BD">
      <w:pPr>
        <w:pStyle w:val="128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7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7"/>
    </w:p>
    <w:p w14:paraId="0670F3F0">
      <w:pPr>
        <w:pStyle w:val="196"/>
        <w:framePr w:y="14176"/>
      </w:pPr>
      <w:r>
        <w:rPr>
          <w:rFonts w:ascii="黑体"/>
        </w:rPr>
        <w:t>202</w:t>
      </w:r>
      <w:r>
        <w:rPr>
          <w:rFonts w:hint="eastAsia" w:ascii="黑体"/>
          <w:lang w:val="en-US" w:eastAsia="zh-CN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  <w:lang w:val="en-US" w:eastAsia="zh-CN"/>
        </w:rPr>
        <w:t>00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t>0</w:t>
      </w:r>
      <w:r>
        <w:rPr>
          <w:rFonts w:hint="eastAsia" w:ascii="黑体"/>
          <w:lang w:val="en-US" w:eastAsia="zh-CN"/>
        </w:rPr>
        <w:t>0</w:t>
      </w:r>
      <w:r>
        <w:rPr>
          <w:rFonts w:hint="eastAsia"/>
        </w:rPr>
        <w:t>发布</w:t>
      </w:r>
    </w:p>
    <w:p w14:paraId="47AABAAF">
      <w:pPr>
        <w:pStyle w:val="197"/>
        <w:framePr w:y="14176"/>
      </w:pPr>
      <w:r>
        <w:rPr>
          <w:rFonts w:ascii="黑体"/>
        </w:rPr>
        <w:t>2024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  <w:lang w:val="en-US" w:eastAsia="zh-CN"/>
        </w:rPr>
        <w:t>00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  <w:lang w:val="en-US" w:eastAsia="zh-CN"/>
        </w:rPr>
        <w:t>00</w:t>
      </w:r>
      <w:r>
        <w:rPr>
          <w:rFonts w:hint="eastAsia"/>
        </w:rPr>
        <w:t>实施</w:t>
      </w:r>
    </w:p>
    <w:p w14:paraId="3BA4238C">
      <w:pPr>
        <w:pStyle w:val="154"/>
        <w:framePr w:h="584" w:hRule="exact" w:hSpace="181" w:vSpace="181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8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  <w:lang w:val="en-US" w:eastAsia="zh-CN"/>
        </w:rPr>
        <w:t>汕头</w:t>
      </w:r>
      <w:r>
        <w:rPr>
          <w:rFonts w:hint="eastAsia" w:hAnsi="黑体"/>
          <w:w w:val="100"/>
          <w:sz w:val="28"/>
        </w:rPr>
        <w:t>市市场</w:t>
      </w:r>
      <w:r>
        <w:rPr>
          <w:rFonts w:hAnsi="黑体"/>
          <w:w w:val="100"/>
          <w:sz w:val="28"/>
        </w:rPr>
        <w:t>监督管理局</w:t>
      </w:r>
      <w:r>
        <w:rPr>
          <w:rFonts w:hAnsi="黑体"/>
          <w:w w:val="100"/>
          <w:sz w:val="28"/>
        </w:rPr>
        <w:fldChar w:fldCharType="end"/>
      </w:r>
      <w:bookmarkEnd w:id="8"/>
      <w:r>
        <w:rPr>
          <w:rFonts w:ascii="Times New Roman"/>
          <w:w w:val="100"/>
          <w:sz w:val="28"/>
        </w:rPr>
        <w:t>  </w:t>
      </w:r>
      <w:r>
        <w:rPr>
          <w:rStyle w:val="232"/>
          <w:rFonts w:hint="eastAsia" w:hAnsi="黑体"/>
          <w:position w:val="0"/>
        </w:rPr>
        <w:t>发</w:t>
      </w:r>
      <w:r>
        <w:rPr>
          <w:rStyle w:val="232"/>
          <w:rFonts w:hint="eastAsia" w:hAnsi="黑体"/>
          <w:spacing w:val="0"/>
          <w:position w:val="0"/>
        </w:rPr>
        <w:t>布</w:t>
      </w:r>
    </w:p>
    <w:p w14:paraId="677A94B7">
      <w:pPr>
        <w:pStyle w:val="168"/>
        <w:ind w:left="0" w:leftChars="0" w:firstLineChars="0"/>
        <w:rPr>
          <w:rFonts w:hint="eastAsia"/>
          <w:szCs w:val="22"/>
        </w:rPr>
        <w:sectPr>
          <w:headerReference r:id="rId6" w:type="first"/>
          <w:footerReference r:id="rId8" w:type="first"/>
          <w:headerReference r:id="rId5" w:type="default"/>
          <w:footerReference r:id="rId7" w:type="even"/>
          <w:type w:val="continuous"/>
          <w:pgSz w:w="11906" w:h="16838"/>
          <w:pgMar w:top="-338" w:right="1134" w:bottom="1021" w:left="1134" w:header="0" w:footer="0" w:gutter="284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linePitch="312" w:charSpace="0"/>
        </w:sectPr>
      </w:pPr>
      <w:r>
        <w:rPr>
          <w:rFonts w:hint="eastAsia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57894BBD">
      <w:pPr>
        <w:pStyle w:val="94"/>
        <w:spacing w:after="468"/>
      </w:pPr>
      <w:bookmarkStart w:id="9" w:name="BookMark1"/>
      <w:bookmarkStart w:id="10" w:name="_Toc146104066"/>
      <w:r>
        <w:rPr>
          <w:rFonts w:hint="eastAsia"/>
          <w:spacing w:val="320"/>
        </w:rPr>
        <w:t>目</w:t>
      </w:r>
      <w:r>
        <w:rPr>
          <w:rFonts w:hint="eastAsia"/>
        </w:rPr>
        <w:t>次</w:t>
      </w:r>
    </w:p>
    <w:p w14:paraId="756E7032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TOC \o "1-1" \h </w:instrText>
      </w:r>
      <w:r>
        <w:fldChar w:fldCharType="separate"/>
      </w:r>
      <w:r>
        <w:fldChar w:fldCharType="begin"/>
      </w:r>
      <w:r>
        <w:instrText xml:space="preserve"> HYPERLINK \l _Toc8301 </w:instrText>
      </w:r>
      <w:r>
        <w:fldChar w:fldCharType="separate"/>
      </w:r>
      <w:r>
        <w:rPr>
          <w:spacing w:val="320"/>
        </w:rPr>
        <w:t>前</w:t>
      </w:r>
      <w:r>
        <w:t>言</w:t>
      </w:r>
      <w:r>
        <w:tab/>
      </w:r>
      <w:r>
        <w:fldChar w:fldCharType="begin"/>
      </w:r>
      <w:r>
        <w:instrText xml:space="preserve"> PAGEREF _Toc8301 </w:instrText>
      </w:r>
      <w:r>
        <w:fldChar w:fldCharType="separate"/>
      </w:r>
      <w:r>
        <w:t>II</w:t>
      </w:r>
      <w:r>
        <w:fldChar w:fldCharType="end"/>
      </w:r>
      <w:r>
        <w:fldChar w:fldCharType="end"/>
      </w:r>
    </w:p>
    <w:p w14:paraId="00ADE478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_Toc25370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1 </w:t>
      </w:r>
      <w:r>
        <w:rPr>
          <w:rFonts w:hint="eastAsia"/>
          <w:szCs w:val="22"/>
        </w:rPr>
        <w:t>范围</w:t>
      </w:r>
      <w:r>
        <w:tab/>
      </w:r>
      <w:r>
        <w:fldChar w:fldCharType="begin"/>
      </w:r>
      <w:r>
        <w:instrText xml:space="preserve"> PAGEREF _Toc25370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625EF96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_Toc19670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2 </w:t>
      </w:r>
      <w:r>
        <w:rPr>
          <w:rFonts w:hint="eastAsia"/>
          <w:szCs w:val="22"/>
        </w:rPr>
        <w:t>规范性引用文件</w:t>
      </w:r>
      <w:r>
        <w:tab/>
      </w:r>
      <w:r>
        <w:fldChar w:fldCharType="begin"/>
      </w:r>
      <w:r>
        <w:instrText xml:space="preserve"> PAGEREF _Toc19670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DAF4F2E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_Toc21382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3 </w:t>
      </w:r>
      <w:r>
        <w:rPr>
          <w:rFonts w:hint="eastAsia"/>
          <w:szCs w:val="22"/>
        </w:rPr>
        <w:t>产地环境</w:t>
      </w:r>
      <w:r>
        <w:tab/>
      </w:r>
      <w:r>
        <w:fldChar w:fldCharType="begin"/>
      </w:r>
      <w:r>
        <w:instrText xml:space="preserve"> PAGEREF _Toc21382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72CDDDB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_Toc10303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4 </w:t>
      </w:r>
      <w:r>
        <w:rPr>
          <w:rFonts w:hint="eastAsia"/>
          <w:szCs w:val="22"/>
        </w:rPr>
        <w:t>生长温度</w:t>
      </w:r>
      <w:r>
        <w:tab/>
      </w:r>
      <w:r>
        <w:fldChar w:fldCharType="begin"/>
      </w:r>
      <w:r>
        <w:instrText xml:space="preserve"> PAGEREF _Toc10303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AFD638F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_Toc4713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5 </w:t>
      </w:r>
      <w:r>
        <w:rPr>
          <w:rFonts w:hint="eastAsia"/>
          <w:szCs w:val="22"/>
          <w:lang w:val="en-US" w:eastAsia="zh-CN"/>
        </w:rPr>
        <w:t>产量指标</w:t>
      </w:r>
      <w:r>
        <w:tab/>
      </w:r>
      <w:r>
        <w:fldChar w:fldCharType="begin"/>
      </w:r>
      <w:r>
        <w:instrText xml:space="preserve"> PAGEREF _Toc4713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A334E5C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_Toc29404 </w:instrText>
      </w:r>
      <w:r>
        <w:fldChar w:fldCharType="separate"/>
      </w:r>
      <w:r>
        <w:rPr>
          <w:rFonts w:hint="eastAsia" w:ascii="黑体" w:eastAsia="黑体"/>
          <w:i w:val="0"/>
          <w:szCs w:val="22"/>
          <w:lang w:val="en-US" w:eastAsia="zh-CN"/>
        </w:rPr>
        <w:t xml:space="preserve">6 </w:t>
      </w:r>
      <w:r>
        <w:rPr>
          <w:rFonts w:hint="eastAsia"/>
          <w:szCs w:val="22"/>
          <w:lang w:val="en-US" w:eastAsia="zh-CN"/>
        </w:rPr>
        <w:t>生育进程及指标</w:t>
      </w:r>
      <w:r>
        <w:tab/>
      </w:r>
      <w:r>
        <w:fldChar w:fldCharType="begin"/>
      </w:r>
      <w:r>
        <w:instrText xml:space="preserve"> PAGEREF _Toc29404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B8EF1A6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_Toc11488 </w:instrText>
      </w:r>
      <w:r>
        <w:fldChar w:fldCharType="separate"/>
      </w:r>
      <w:r>
        <w:rPr>
          <w:rFonts w:hint="eastAsia" w:ascii="黑体" w:eastAsia="黑体"/>
          <w:i w:val="0"/>
          <w:szCs w:val="22"/>
          <w:lang w:val="en-US" w:eastAsia="zh-CN"/>
        </w:rPr>
        <w:t xml:space="preserve">7 </w:t>
      </w:r>
      <w:r>
        <w:rPr>
          <w:rFonts w:hint="eastAsia"/>
          <w:szCs w:val="22"/>
          <w:lang w:val="en-US" w:eastAsia="zh-CN"/>
        </w:rPr>
        <w:t>栽培技术</w:t>
      </w:r>
      <w:r>
        <w:tab/>
      </w:r>
      <w:r>
        <w:fldChar w:fldCharType="begin"/>
      </w:r>
      <w:r>
        <w:instrText xml:space="preserve"> PAGEREF _Toc11488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84A25EF">
      <w:pPr>
        <w:pStyle w:val="20"/>
        <w:tabs>
          <w:tab w:val="right" w:leader="dot" w:pos="9354"/>
        </w:tabs>
        <w:jc w:val="left"/>
      </w:pPr>
      <w:r>
        <w:fldChar w:fldCharType="begin"/>
      </w:r>
      <w:r>
        <w:instrText xml:space="preserve"> HYPERLINK \l _Toc1063 </w:instrText>
      </w:r>
      <w:r>
        <w:fldChar w:fldCharType="separate"/>
      </w:r>
      <w:r>
        <w:rPr>
          <w:rStyle w:val="241"/>
          <w:rFonts w:hint="eastAsia"/>
        </w:rPr>
        <w:t>附录A</w:t>
      </w:r>
      <w:r>
        <w:rPr>
          <w:rFonts w:hint="eastAsia"/>
        </w:rPr>
        <w:t>（资料性）蜜本南瓜主要病虫害药剂防治方法</w:t>
      </w:r>
      <w:r>
        <w:tab/>
      </w:r>
      <w:r>
        <w:fldChar w:fldCharType="begin"/>
      </w:r>
      <w:r>
        <w:instrText xml:space="preserve"> PAGEREF _Toc1063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C355202">
      <w:pPr>
        <w:pStyle w:val="94"/>
        <w:spacing w:after="468"/>
        <w:sectPr>
          <w:headerReference r:id="rId9" w:type="default"/>
          <w:footerReference r:id="rId11" w:type="default"/>
          <w:headerReference r:id="rId10" w:type="even"/>
          <w:footerReference r:id="rId12" w:type="even"/>
          <w:pgSz w:w="11906" w:h="16838"/>
          <w:pgMar w:top="1928" w:right="1134" w:bottom="1134" w:left="1134" w:header="1418" w:footer="1134" w:gutter="284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formProt w:val="0"/>
          <w:docGrid w:type="lines" w:linePitch="312" w:charSpace="0"/>
        </w:sectPr>
      </w:pPr>
      <w:r>
        <w:fldChar w:fldCharType="end"/>
      </w:r>
      <w:bookmarkEnd w:id="9"/>
      <w:bookmarkStart w:id="11" w:name="_Toc8301"/>
      <w:bookmarkStart w:id="12" w:name="BookMark2"/>
    </w:p>
    <w:p w14:paraId="1F5F2914">
      <w:pPr>
        <w:pStyle w:val="94"/>
        <w:spacing w:after="468"/>
      </w:pPr>
      <w:r>
        <w:rPr>
          <w:spacing w:val="320"/>
        </w:rPr>
        <w:t>前</w:t>
      </w:r>
      <w:r>
        <w:t>言</w:t>
      </w:r>
      <w:bookmarkEnd w:id="10"/>
      <w:bookmarkEnd w:id="11"/>
    </w:p>
    <w:p w14:paraId="7A325E6B">
      <w:pPr>
        <w:pStyle w:val="59"/>
        <w:ind w:firstLine="420"/>
        <w:rPr>
          <w:rFonts w:hint="eastAsia"/>
        </w:rPr>
      </w:pPr>
      <w:r>
        <w:rPr>
          <w:rFonts w:hint="eastAsia"/>
        </w:rPr>
        <w:t>本文件按GB/T 1.1—2020《标准化工作导则　第1部分：标准化文件的结构和起草规则》的规定编写。</w:t>
      </w:r>
    </w:p>
    <w:p w14:paraId="70C8A515">
      <w:pPr>
        <w:pStyle w:val="59"/>
        <w:ind w:firstLine="420"/>
        <w:rPr>
          <w:rFonts w:hint="eastAsia"/>
        </w:rPr>
      </w:pPr>
      <w:r>
        <w:rPr>
          <w:rFonts w:hint="eastAsia"/>
        </w:rPr>
        <w:t>本文件与</w:t>
      </w:r>
      <w:r>
        <w:rPr>
          <w:rFonts w:hint="eastAsia"/>
          <w:szCs w:val="22"/>
          <w:lang w:val="en-US" w:eastAsia="zh-CN"/>
        </w:rPr>
        <w:t>DB</w:t>
      </w:r>
      <w:r>
        <w:rPr>
          <w:rFonts w:hint="eastAsia"/>
        </w:rPr>
        <w:t>440500/Ｔ20－2019相比，除编辑性修改外，主要技术变化如下：</w:t>
      </w:r>
    </w:p>
    <w:p w14:paraId="39F75EBB">
      <w:pPr>
        <w:pStyle w:val="59"/>
        <w:ind w:firstLine="420"/>
        <w:rPr>
          <w:rFonts w:hint="eastAsia"/>
        </w:rPr>
      </w:pPr>
      <w:r>
        <w:rPr>
          <w:rFonts w:hint="eastAsia"/>
        </w:rPr>
        <w:t>－－原标题“白沙蜜本南瓜栽培技术规程”因涉及指定品牌，修改为“蜜本南瓜栽培技术规程”；</w:t>
      </w:r>
    </w:p>
    <w:p w14:paraId="2BD10DDE">
      <w:pPr>
        <w:pStyle w:val="59"/>
        <w:ind w:firstLine="420"/>
        <w:rPr>
          <w:rFonts w:hint="eastAsia"/>
        </w:rPr>
      </w:pPr>
      <w:r>
        <w:rPr>
          <w:rFonts w:hint="eastAsia"/>
        </w:rPr>
        <w:t>－－修改了“规范性引用文件”。（见2）</w:t>
      </w:r>
    </w:p>
    <w:p w14:paraId="2351D21D">
      <w:pPr>
        <w:pStyle w:val="59"/>
        <w:ind w:firstLine="420"/>
        <w:rPr>
          <w:rFonts w:hint="eastAsia"/>
        </w:rPr>
      </w:pPr>
      <w:r>
        <w:rPr>
          <w:rFonts w:hint="eastAsia"/>
        </w:rPr>
        <w:t>－－修改了“栽培技术”的部分内容（见7）</w:t>
      </w:r>
    </w:p>
    <w:p w14:paraId="4073D29A">
      <w:pPr>
        <w:pStyle w:val="59"/>
        <w:ind w:firstLine="420"/>
        <w:rPr>
          <w:rFonts w:hint="eastAsia"/>
        </w:rPr>
      </w:pPr>
      <w:r>
        <w:rPr>
          <w:rFonts w:hint="eastAsia"/>
        </w:rPr>
        <w:t>－－增加了附录A。</w:t>
      </w:r>
    </w:p>
    <w:p w14:paraId="24BE71C0">
      <w:pPr>
        <w:pStyle w:val="59"/>
        <w:ind w:firstLine="420"/>
        <w:rPr>
          <w:rFonts w:hint="eastAsia"/>
        </w:rPr>
      </w:pPr>
      <w:r>
        <w:rPr>
          <w:rFonts w:hint="eastAsia"/>
        </w:rPr>
        <w:t>请注意本文件的某些内容可能涉及专利。本文件的发布机构不承担识别专利的责任。</w:t>
      </w:r>
    </w:p>
    <w:p w14:paraId="6D039BA9">
      <w:pPr>
        <w:pStyle w:val="59"/>
        <w:ind w:firstLine="420"/>
        <w:rPr>
          <w:rFonts w:hint="eastAsia"/>
        </w:rPr>
      </w:pPr>
      <w:r>
        <w:rPr>
          <w:rFonts w:hint="eastAsia"/>
        </w:rPr>
        <w:t>本文件由汕头市农业农村局提出并归口。</w:t>
      </w:r>
    </w:p>
    <w:p w14:paraId="719571A3">
      <w:pPr>
        <w:pStyle w:val="59"/>
        <w:ind w:firstLine="420"/>
        <w:rPr>
          <w:rFonts w:hint="eastAsia"/>
        </w:rPr>
      </w:pPr>
      <w:r>
        <w:rPr>
          <w:rFonts w:hint="eastAsia"/>
        </w:rPr>
        <w:t>本文件起草单位：汕头市白沙蔬菜原种研究所。</w:t>
      </w:r>
    </w:p>
    <w:p w14:paraId="6F6F7C2B">
      <w:pPr>
        <w:pStyle w:val="59"/>
        <w:ind w:firstLine="420"/>
        <w:rPr>
          <w:rFonts w:hint="eastAsia"/>
        </w:rPr>
      </w:pPr>
      <w:r>
        <w:rPr>
          <w:rFonts w:hint="eastAsia"/>
        </w:rPr>
        <w:t>本文件主要起草人：陈捷凯、林爱惜、王穗涛、邵克成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蔡奕浩</w:t>
      </w:r>
      <w:r>
        <w:rPr>
          <w:rFonts w:hint="eastAsia"/>
        </w:rPr>
        <w:t>。</w:t>
      </w:r>
    </w:p>
    <w:p w14:paraId="64263CD9">
      <w:pPr>
        <w:pStyle w:val="59"/>
        <w:ind w:firstLine="420"/>
      </w:pPr>
      <w:r>
        <w:rPr>
          <w:rFonts w:hint="eastAsia"/>
        </w:rPr>
        <w:t>本文件于2002年11月首次发布，2011年12月第一次修订，2019年10月第二次修订，本次为第三次修订。</w:t>
      </w:r>
    </w:p>
    <w:p w14:paraId="224F5779">
      <w:pPr>
        <w:pStyle w:val="59"/>
        <w:ind w:firstLine="420"/>
        <w:sectPr>
          <w:headerReference r:id="rId13" w:type="default"/>
          <w:footerReference r:id="rId15" w:type="default"/>
          <w:headerReference r:id="rId14" w:type="even"/>
          <w:footerReference r:id="rId16" w:type="even"/>
          <w:pgSz w:w="11906" w:h="16838"/>
          <w:pgMar w:top="1928" w:right="1134" w:bottom="1134" w:left="1134" w:header="1418" w:footer="1134" w:gutter="284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/>
          <w:cols w:space="425" w:num="1"/>
          <w:formProt w:val="0"/>
          <w:docGrid w:type="lines" w:linePitch="312" w:charSpace="0"/>
        </w:sectPr>
      </w:pPr>
    </w:p>
    <w:bookmarkEnd w:id="12"/>
    <w:p w14:paraId="62DC4AB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13" w:name="BookMark4"/>
    </w:p>
    <w:p w14:paraId="2CAC5BB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E0EE1C8">
      <w:pPr>
        <w:pStyle w:val="180"/>
        <w:spacing w:before="3" w:beforeLines="1" w:after="686" w:afterLines="220"/>
        <w:rPr>
          <w:color w:val="auto"/>
        </w:rPr>
      </w:pPr>
      <w:bookmarkStart w:id="14" w:name="NEW_STAND_NAME"/>
      <w:sdt>
        <w:sdtPr>
          <w:rPr>
            <w:rFonts w:hint="eastAsia" w:ascii="黑体" w:hAnsi="黑体" w:eastAsia="黑体" w:cs="黑体"/>
          </w:rPr>
          <w:tag w:val="NEW_STAND_NAME"/>
          <w:id w:val="595910757"/>
          <w:lock w:val="sdtLocked"/>
          <w:placeholder>
            <w:docPart w:val="345C1027570749DAB7A88F8D292F6547"/>
          </w:placeholder>
        </w:sdtPr>
        <w:sdtEndPr>
          <w:rPr>
            <w:rFonts w:hint="eastAsia" w:ascii="黑体" w:hAnsi="黑体" w:eastAsia="黑体" w:cs="黑体"/>
            <w:color w:val="auto"/>
          </w:rPr>
        </w:sdtEndPr>
        <w:sdtContent>
          <w:r>
            <w:rPr>
              <w:rStyle w:val="189"/>
              <w:rFonts w:hint="eastAsia" w:ascii="黑体" w:hAnsi="黑体" w:eastAsia="黑体" w:cs="黑体"/>
              <w:color w:val="auto"/>
            </w:rPr>
            <w:t>蜜本南瓜栽培技术规程</w:t>
          </w:r>
        </w:sdtContent>
      </w:sdt>
    </w:p>
    <w:bookmarkEnd w:id="14"/>
    <w:p w14:paraId="170FE93F">
      <w:pPr>
        <w:pStyle w:val="107"/>
        <w:numPr>
          <w:ilvl w:val="1"/>
          <w:numId w:val="32"/>
        </w:numPr>
        <w:spacing w:before="312" w:after="312"/>
        <w:ind w:left="0" w:firstLine="0"/>
        <w:rPr>
          <w:rFonts w:hint="eastAsia"/>
          <w:szCs w:val="22"/>
        </w:rPr>
      </w:pPr>
      <w:bookmarkStart w:id="15" w:name="_Toc20377488"/>
      <w:bookmarkStart w:id="16" w:name="_Toc25370"/>
      <w:bookmarkStart w:id="17" w:name="_Toc20380499"/>
      <w:bookmarkStart w:id="18" w:name="_Toc24884212"/>
      <w:bookmarkStart w:id="19" w:name="_Toc17233334"/>
      <w:bookmarkStart w:id="20" w:name="_Toc17233326"/>
      <w:bookmarkStart w:id="21" w:name="_Toc24884219"/>
      <w:bookmarkStart w:id="22" w:name="_Toc26648466"/>
      <w:r>
        <w:rPr>
          <w:rFonts w:hint="eastAsia"/>
          <w:szCs w:val="22"/>
        </w:rPr>
        <w:t>范围</w:t>
      </w:r>
      <w:bookmarkEnd w:id="15"/>
      <w:bookmarkEnd w:id="16"/>
      <w:bookmarkEnd w:id="17"/>
    </w:p>
    <w:p w14:paraId="609D5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 w:eastAsia="宋体"/>
          <w:lang w:eastAsia="zh-CN"/>
        </w:rPr>
        <w:t>文件</w:t>
      </w:r>
      <w:r>
        <w:rPr>
          <w:rFonts w:hint="eastAsia"/>
        </w:rPr>
        <w:t>规定了蜜本南瓜的产地环境、生长温度、产量指标、生育进程、栽培技术等内容。</w:t>
      </w:r>
    </w:p>
    <w:p w14:paraId="1A218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 xml:space="preserve">    本</w:t>
      </w:r>
      <w:r>
        <w:rPr>
          <w:rFonts w:hint="eastAsia" w:eastAsia="宋体"/>
          <w:lang w:eastAsia="zh-CN"/>
        </w:rPr>
        <w:t>文件</w:t>
      </w:r>
      <w:r>
        <w:rPr>
          <w:rFonts w:hint="eastAsia"/>
        </w:rPr>
        <w:t>适用于蜜本南瓜在</w:t>
      </w:r>
      <w:r>
        <w:rPr>
          <w:rFonts w:hint="eastAsia"/>
          <w:lang w:val="en-US" w:eastAsia="zh-CN"/>
        </w:rPr>
        <w:t>汕头</w:t>
      </w:r>
      <w:r>
        <w:rPr>
          <w:rFonts w:hint="eastAsia"/>
        </w:rPr>
        <w:t>地区的生产、栽培，亦可供其它地区参考。</w:t>
      </w:r>
    </w:p>
    <w:p w14:paraId="341C0ABA">
      <w:pPr>
        <w:pStyle w:val="107"/>
        <w:numPr>
          <w:ilvl w:val="1"/>
          <w:numId w:val="32"/>
        </w:numPr>
        <w:spacing w:before="312" w:after="312"/>
        <w:ind w:left="0" w:firstLine="0"/>
        <w:rPr>
          <w:rFonts w:hint="eastAsia"/>
          <w:szCs w:val="22"/>
        </w:rPr>
      </w:pPr>
      <w:bookmarkStart w:id="23" w:name="_Toc20377489"/>
      <w:bookmarkStart w:id="24" w:name="_Toc19670"/>
      <w:bookmarkStart w:id="25" w:name="_Toc20380500"/>
      <w:r>
        <w:rPr>
          <w:rFonts w:hint="eastAsia"/>
          <w:szCs w:val="22"/>
        </w:rPr>
        <w:t>规范性引用文件</w:t>
      </w:r>
      <w:bookmarkEnd w:id="23"/>
      <w:bookmarkEnd w:id="24"/>
      <w:bookmarkEnd w:id="25"/>
    </w:p>
    <w:p w14:paraId="1763E993">
      <w:pPr>
        <w:pStyle w:val="23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/>
        <w:ind w:firstLine="420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>下列文件对于本</w:t>
      </w:r>
      <w:r>
        <w:rPr>
          <w:rFonts w:hint="eastAsia" w:ascii="宋体" w:eastAsia="宋体"/>
          <w:lang w:eastAsia="zh-CN"/>
        </w:rPr>
        <w:t>文件</w:t>
      </w:r>
      <w:r>
        <w:rPr>
          <w:rFonts w:hint="eastAsia" w:ascii="宋体" w:eastAsia="宋体"/>
        </w:rPr>
        <w:t>的应用是必不可少的。凡是注日期的引用文件，仅所注日期的版本适用于本</w:t>
      </w:r>
      <w:r>
        <w:rPr>
          <w:rFonts w:hint="eastAsia" w:ascii="宋体" w:eastAsia="宋体"/>
          <w:lang w:eastAsia="zh-CN"/>
        </w:rPr>
        <w:t>文件</w:t>
      </w:r>
      <w:r>
        <w:rPr>
          <w:rFonts w:hint="eastAsia" w:ascii="宋体" w:eastAsia="宋体"/>
        </w:rPr>
        <w:t>。凡是不注日期的引用文件，其最新版本（包括所有的修改单）适用于本</w:t>
      </w:r>
      <w:r>
        <w:rPr>
          <w:rFonts w:hint="eastAsia" w:ascii="宋体" w:eastAsia="宋体"/>
          <w:lang w:eastAsia="zh-CN"/>
        </w:rPr>
        <w:t>文件</w:t>
      </w:r>
      <w:r>
        <w:rPr>
          <w:rFonts w:hint="eastAsia" w:ascii="宋体" w:eastAsia="宋体"/>
        </w:rPr>
        <w:t>。</w:t>
      </w:r>
    </w:p>
    <w:p w14:paraId="5BD09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50" w:after="50" w:line="240" w:lineRule="auto"/>
        <w:ind w:firstLine="437"/>
        <w:textAlignment w:val="auto"/>
        <w:rPr>
          <w:rFonts w:hint="eastAsia" w:ascii="宋体" w:hAnsi="宋体" w:eastAsia="宋体" w:cs="宋体"/>
          <w:color w:val="000000"/>
        </w:rPr>
      </w:pPr>
      <w:bookmarkStart w:id="26" w:name="_Toc20377526"/>
      <w:bookmarkStart w:id="27" w:name="_Toc20380537"/>
      <w:r>
        <w:rPr>
          <w:rFonts w:hint="eastAsia" w:ascii="宋体" w:hAnsi="宋体" w:eastAsia="宋体" w:cs="宋体"/>
          <w:color w:val="000000"/>
        </w:rPr>
        <w:t>GB/T</w:t>
      </w:r>
      <w:r>
        <w:rPr>
          <w:rFonts w:hint="eastAsia" w:ascii="宋体" w:hAnsi="宋体" w:cs="宋体"/>
          <w:color w:val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</w:rPr>
        <w:t>8321.10</w:t>
      </w:r>
      <w:r>
        <w:rPr>
          <w:rFonts w:hint="eastAsia" w:ascii="宋体" w:hAnsi="宋体" w:eastAsia="宋体" w:cs="宋体"/>
          <w:color w:val="auto"/>
          <w:lang w:val="en-US" w:eastAsia="zh-CN"/>
        </w:rPr>
        <w:t>　</w:t>
      </w:r>
      <w:r>
        <w:rPr>
          <w:rFonts w:hint="eastAsia" w:ascii="宋体" w:hAnsi="宋体" w:eastAsia="宋体" w:cs="宋体"/>
          <w:color w:val="000000"/>
        </w:rPr>
        <w:t>农药合理使用准则（十）</w:t>
      </w:r>
    </w:p>
    <w:p w14:paraId="58905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50" w:after="50" w:line="240" w:lineRule="auto"/>
        <w:ind w:firstLine="437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GB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lang w:val="en-US" w:eastAsia="zh-CN"/>
        </w:rPr>
        <w:t>16715.1　瓜菜作物种子　第1部分　瓜类</w:t>
      </w:r>
    </w:p>
    <w:p w14:paraId="2850D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50" w:after="50" w:line="240" w:lineRule="auto"/>
        <w:ind w:firstLine="437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NY/T</w:t>
      </w:r>
      <w:r>
        <w:rPr>
          <w:rFonts w:hint="eastAsia" w:ascii="宋体" w:hAnsi="宋体" w:cs="宋体"/>
          <w:color w:val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</w:rPr>
        <w:t>1276  农药安全使用规范</w:t>
      </w:r>
      <w:r>
        <w:rPr>
          <w:rFonts w:hint="eastAsia" w:ascii="宋体" w:hAnsi="宋体" w:eastAsia="宋体" w:cs="宋体"/>
          <w:color w:val="000000"/>
          <w:lang w:eastAsia="zh-CN"/>
        </w:rPr>
        <w:t>　</w:t>
      </w:r>
      <w:r>
        <w:rPr>
          <w:rFonts w:hint="eastAsia" w:ascii="宋体" w:hAnsi="宋体" w:eastAsia="宋体" w:cs="宋体"/>
          <w:color w:val="000000"/>
        </w:rPr>
        <w:t>总则</w:t>
      </w:r>
    </w:p>
    <w:p w14:paraId="42A45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50" w:after="50" w:line="240" w:lineRule="auto"/>
        <w:ind w:firstLine="437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NY</w:t>
      </w:r>
      <w:r>
        <w:rPr>
          <w:rFonts w:hint="eastAsia" w:ascii="宋体" w:hAnsi="宋体" w:eastAsia="宋体" w:cs="宋体"/>
          <w:color w:val="000000"/>
          <w:lang w:val="en-US" w:eastAsia="zh-CN"/>
        </w:rPr>
        <w:t>/</w:t>
      </w:r>
      <w:r>
        <w:rPr>
          <w:rFonts w:hint="eastAsia" w:ascii="宋体" w:hAnsi="宋体" w:cs="宋体"/>
          <w:color w:val="000000"/>
          <w:lang w:val="en-US" w:eastAsia="zh-CN"/>
        </w:rPr>
        <w:t xml:space="preserve">T </w:t>
      </w:r>
      <w:r>
        <w:rPr>
          <w:rFonts w:hint="eastAsia" w:ascii="宋体" w:hAnsi="宋体" w:eastAsia="宋体" w:cs="宋体"/>
          <w:color w:val="000000"/>
        </w:rPr>
        <w:t>5010  无公害农产品 种植业产地环境条件</w:t>
      </w:r>
    </w:p>
    <w:p w14:paraId="59DCC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50" w:after="50" w:line="240" w:lineRule="auto"/>
        <w:ind w:firstLine="437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NY/T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lang w:val="en-US" w:eastAsia="zh-CN"/>
        </w:rPr>
        <w:t>496　肥料合理使用准则　通则</w:t>
      </w:r>
    </w:p>
    <w:p w14:paraId="47CB4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50" w:after="50" w:line="240" w:lineRule="auto"/>
        <w:ind w:firstLine="437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NY/T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lang w:val="en-US" w:eastAsia="zh-CN"/>
        </w:rPr>
        <w:t>2118　蔬菜育苗基质</w:t>
      </w:r>
    </w:p>
    <w:p w14:paraId="3F10FE71">
      <w:pPr>
        <w:pStyle w:val="107"/>
        <w:numPr>
          <w:ilvl w:val="1"/>
          <w:numId w:val="32"/>
        </w:numPr>
        <w:spacing w:before="312" w:after="312"/>
        <w:ind w:left="0" w:firstLine="0"/>
        <w:rPr>
          <w:rFonts w:hint="eastAsia"/>
          <w:szCs w:val="22"/>
        </w:rPr>
      </w:pPr>
      <w:bookmarkStart w:id="28" w:name="_Toc21382"/>
      <w:r>
        <w:rPr>
          <w:rFonts w:hint="eastAsia"/>
          <w:szCs w:val="22"/>
        </w:rPr>
        <w:t>产地环境</w:t>
      </w:r>
      <w:bookmarkEnd w:id="28"/>
    </w:p>
    <w:p w14:paraId="647384BF">
      <w:pPr>
        <w:pStyle w:val="236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240" w:lineRule="auto"/>
        <w:ind w:leftChars="0"/>
        <w:textAlignment w:val="auto"/>
        <w:rPr>
          <w:rFonts w:hint="eastAsia" w:ascii="宋体" w:hAnsi="宋体" w:eastAsia="宋体" w:cs="宋体"/>
          <w:color w:val="000000"/>
          <w:u w:val="double"/>
        </w:rPr>
      </w:pPr>
      <w:r>
        <w:rPr>
          <w:rFonts w:hint="eastAsia" w:eastAsia="宋体"/>
          <w:b w:val="0"/>
          <w:bCs/>
          <w:color w:val="000000"/>
          <w:lang w:eastAsia="zh-CN"/>
        </w:rPr>
        <w:t>　　</w:t>
      </w:r>
      <w:r>
        <w:rPr>
          <w:rFonts w:hint="eastAsia" w:ascii="宋体" w:hAnsi="宋体" w:eastAsia="宋体" w:cs="宋体"/>
          <w:color w:val="000000"/>
        </w:rPr>
        <w:t>应符合NY/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T </w:t>
      </w:r>
      <w:r>
        <w:rPr>
          <w:rFonts w:hint="eastAsia" w:ascii="宋体" w:hAnsi="宋体" w:eastAsia="宋体" w:cs="宋体"/>
          <w:color w:val="000000"/>
        </w:rPr>
        <w:t>5010的要求。</w:t>
      </w:r>
    </w:p>
    <w:p w14:paraId="2DA80515">
      <w:pPr>
        <w:pStyle w:val="107"/>
        <w:numPr>
          <w:ilvl w:val="1"/>
          <w:numId w:val="32"/>
        </w:numPr>
        <w:spacing w:before="312" w:after="312"/>
        <w:ind w:left="0" w:firstLine="0"/>
        <w:rPr>
          <w:rFonts w:hint="eastAsia"/>
          <w:szCs w:val="22"/>
        </w:rPr>
      </w:pPr>
      <w:bookmarkStart w:id="29" w:name="_Toc10303"/>
      <w:r>
        <w:rPr>
          <w:rFonts w:hint="eastAsia"/>
          <w:szCs w:val="22"/>
        </w:rPr>
        <w:t>生长温度</w:t>
      </w:r>
      <w:bookmarkEnd w:id="26"/>
      <w:bookmarkEnd w:id="27"/>
      <w:bookmarkEnd w:id="29"/>
    </w:p>
    <w:p w14:paraId="4F139D0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生长适宜温度18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℃～32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℃，开花结果适宜温度25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℃～27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℃。温度低于18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℃和高于33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℃对其对花器生长发育不利，易引起落花落果。</w:t>
      </w:r>
    </w:p>
    <w:p w14:paraId="260B045A">
      <w:pPr>
        <w:pStyle w:val="107"/>
        <w:numPr>
          <w:ilvl w:val="1"/>
          <w:numId w:val="32"/>
        </w:numPr>
        <w:spacing w:before="312" w:after="312"/>
        <w:ind w:left="0" w:firstLine="0"/>
        <w:rPr>
          <w:rFonts w:hint="eastAsia"/>
          <w:szCs w:val="22"/>
        </w:rPr>
      </w:pPr>
      <w:bookmarkStart w:id="30" w:name="_Toc20380538"/>
      <w:bookmarkStart w:id="31" w:name="_Toc4713"/>
      <w:bookmarkStart w:id="32" w:name="_Toc20377527"/>
      <w:r>
        <w:rPr>
          <w:rFonts w:hint="eastAsia"/>
          <w:szCs w:val="22"/>
          <w:lang w:val="en-US" w:eastAsia="zh-CN"/>
        </w:rPr>
        <w:t>产量指标</w:t>
      </w:r>
      <w:bookmarkEnd w:id="30"/>
      <w:bookmarkEnd w:id="31"/>
      <w:bookmarkEnd w:id="32"/>
    </w:p>
    <w:p w14:paraId="56D528D1">
      <w:pPr>
        <w:pStyle w:val="108"/>
        <w:spacing w:before="156" w:after="156"/>
        <w:rPr>
          <w:rFonts w:hint="eastAsia"/>
          <w:szCs w:val="22"/>
        </w:rPr>
      </w:pPr>
      <w:r>
        <w:rPr>
          <w:rFonts w:hint="eastAsia"/>
          <w:szCs w:val="22"/>
        </w:rPr>
        <w:t>产量</w:t>
      </w:r>
    </w:p>
    <w:p w14:paraId="11BABC95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每667</w:t>
      </w:r>
      <w:r>
        <w:rPr>
          <w:rFonts w:hint="eastAsia"/>
          <w:w w:val="25"/>
        </w:rPr>
        <w:t>　</w:t>
      </w:r>
      <w:r>
        <w:rPr>
          <w:rFonts w:hint="eastAsia"/>
        </w:rPr>
        <w:t>㎡产量1500</w:t>
      </w:r>
      <w:r>
        <w:rPr>
          <w:rFonts w:hint="eastAsia"/>
          <w:w w:val="25"/>
        </w:rPr>
        <w:t>　</w:t>
      </w:r>
      <w:r>
        <w:rPr>
          <w:rFonts w:hint="eastAsia"/>
        </w:rPr>
        <w:t>kg～2000</w:t>
      </w:r>
      <w:r>
        <w:rPr>
          <w:rFonts w:hint="eastAsia"/>
          <w:w w:val="25"/>
        </w:rPr>
        <w:t>　</w:t>
      </w:r>
      <w:r>
        <w:rPr>
          <w:rFonts w:hint="eastAsia"/>
        </w:rPr>
        <w:t>kg。</w:t>
      </w:r>
    </w:p>
    <w:p w14:paraId="476D4418">
      <w:pPr>
        <w:pStyle w:val="108"/>
        <w:spacing w:before="156" w:after="156"/>
        <w:rPr>
          <w:rFonts w:hint="eastAsia"/>
          <w:szCs w:val="22"/>
        </w:rPr>
      </w:pPr>
      <w:r>
        <w:rPr>
          <w:rFonts w:hint="eastAsia"/>
          <w:szCs w:val="22"/>
        </w:rPr>
        <w:t>产量构成</w:t>
      </w:r>
    </w:p>
    <w:p w14:paraId="16CF16BC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每667</w:t>
      </w:r>
      <w:r>
        <w:rPr>
          <w:rFonts w:hint="eastAsia"/>
          <w:w w:val="25"/>
        </w:rPr>
        <w:t>　</w:t>
      </w:r>
      <w:r>
        <w:rPr>
          <w:rFonts w:hint="eastAsia"/>
        </w:rPr>
        <w:t>㎡种植580株～650株，单株结果数1个～3个，单果重量2</w:t>
      </w:r>
      <w:r>
        <w:rPr>
          <w:rFonts w:hint="eastAsia"/>
          <w:w w:val="25"/>
        </w:rPr>
        <w:t>　</w:t>
      </w:r>
      <w:r>
        <w:rPr>
          <w:rFonts w:hint="eastAsia"/>
        </w:rPr>
        <w:t>kg～3</w:t>
      </w:r>
      <w:r>
        <w:rPr>
          <w:rFonts w:hint="eastAsia"/>
          <w:w w:val="25"/>
        </w:rPr>
        <w:t>　</w:t>
      </w:r>
      <w:r>
        <w:rPr>
          <w:rFonts w:hint="eastAsia"/>
        </w:rPr>
        <w:t>kg</w:t>
      </w:r>
      <w:r>
        <w:t>。</w:t>
      </w:r>
    </w:p>
    <w:p w14:paraId="4C3FD31C">
      <w:pPr>
        <w:pStyle w:val="107"/>
        <w:numPr>
          <w:ilvl w:val="1"/>
          <w:numId w:val="32"/>
        </w:numPr>
        <w:spacing w:before="312" w:after="312"/>
        <w:ind w:left="0" w:firstLine="0"/>
        <w:rPr>
          <w:rFonts w:hint="eastAsia"/>
          <w:szCs w:val="22"/>
          <w:lang w:val="en-US" w:eastAsia="zh-CN"/>
        </w:rPr>
      </w:pPr>
      <w:bookmarkStart w:id="33" w:name="_Toc29404"/>
      <w:bookmarkStart w:id="34" w:name="_Toc20377528"/>
      <w:bookmarkStart w:id="35" w:name="_Toc20380539"/>
      <w:r>
        <w:rPr>
          <w:rFonts w:hint="eastAsia"/>
          <w:szCs w:val="22"/>
          <w:lang w:val="en-US" w:eastAsia="zh-CN"/>
        </w:rPr>
        <w:t>生育进程及指标</w:t>
      </w:r>
      <w:bookmarkEnd w:id="33"/>
      <w:bookmarkEnd w:id="34"/>
      <w:bookmarkEnd w:id="35"/>
    </w:p>
    <w:p w14:paraId="2F4F9BCE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发芽期</w:t>
      </w:r>
    </w:p>
    <w:p w14:paraId="6F33AC9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/>
        </w:rPr>
      </w:pPr>
      <w:r>
        <w:rPr>
          <w:rFonts w:hint="eastAsia" w:eastAsia="宋体"/>
          <w:lang w:eastAsia="zh-CN"/>
        </w:rPr>
        <w:t>　　</w:t>
      </w:r>
      <w:r>
        <w:rPr>
          <w:rFonts w:hint="eastAsia" w:ascii="宋体" w:hAnsi="宋体" w:eastAsia="宋体" w:cs="宋体"/>
        </w:rPr>
        <w:t>3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d</w:t>
      </w:r>
      <w:r>
        <w:rPr>
          <w:rFonts w:hint="eastAsia"/>
        </w:rPr>
        <w:t>～</w:t>
      </w:r>
      <w:r>
        <w:rPr>
          <w:rFonts w:hint="eastAsia" w:ascii="宋体" w:hAnsi="宋体" w:eastAsia="宋体" w:cs="宋体"/>
        </w:rPr>
        <w:t>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d，种子萌动到子叶展开。</w:t>
      </w:r>
    </w:p>
    <w:p w14:paraId="18A6E831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幼苗期</w:t>
      </w:r>
    </w:p>
    <w:p w14:paraId="0AB383E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eastAsia="宋体"/>
          <w:lang w:eastAsia="zh-CN"/>
        </w:rPr>
        <w:t>　　</w:t>
      </w:r>
      <w:r>
        <w:rPr>
          <w:rFonts w:hint="eastAsia" w:ascii="宋体" w:hAnsi="宋体" w:eastAsia="宋体" w:cs="宋体"/>
        </w:rPr>
        <w:t>30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d</w:t>
      </w:r>
      <w:r>
        <w:rPr>
          <w:rFonts w:hint="eastAsia"/>
        </w:rPr>
        <w:t>～</w:t>
      </w:r>
      <w:r>
        <w:rPr>
          <w:rFonts w:hint="eastAsia" w:ascii="宋体" w:hAnsi="宋体" w:eastAsia="宋体" w:cs="宋体"/>
        </w:rPr>
        <w:t>35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d，第一片真叶抽出到有6片</w:t>
      </w:r>
      <w:r>
        <w:rPr>
          <w:rFonts w:hint="eastAsia"/>
        </w:rPr>
        <w:t>～</w:t>
      </w:r>
      <w:r>
        <w:rPr>
          <w:rFonts w:hint="eastAsia" w:ascii="宋体" w:hAnsi="宋体" w:eastAsia="宋体" w:cs="宋体"/>
        </w:rPr>
        <w:t>7片真叶。</w:t>
      </w:r>
    </w:p>
    <w:p w14:paraId="360B2000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抽蔓期</w:t>
      </w:r>
    </w:p>
    <w:p w14:paraId="589E009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27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d ～30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d，第6片</w:t>
      </w:r>
      <w:r>
        <w:rPr>
          <w:rFonts w:hint="eastAsia"/>
        </w:rPr>
        <w:t>～</w:t>
      </w:r>
      <w:r>
        <w:rPr>
          <w:rFonts w:hint="eastAsia" w:ascii="宋体" w:hAnsi="宋体" w:eastAsia="宋体" w:cs="宋体"/>
        </w:rPr>
        <w:t>7片真叶抽出到第一雌花出现。</w:t>
      </w:r>
    </w:p>
    <w:p w14:paraId="3E5F17CD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开花结果期</w:t>
      </w:r>
    </w:p>
    <w:p w14:paraId="15A1995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d</w:t>
      </w:r>
      <w:r>
        <w:rPr>
          <w:rFonts w:hint="eastAsia"/>
        </w:rPr>
        <w:t>～</w:t>
      </w:r>
      <w:r>
        <w:rPr>
          <w:rFonts w:hint="eastAsia" w:ascii="宋体" w:hAnsi="宋体" w:eastAsia="宋体" w:cs="宋体"/>
        </w:rPr>
        <w:t>40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</w:rPr>
        <w:t>d，第一雌花开放到始收。</w:t>
      </w:r>
    </w:p>
    <w:p w14:paraId="5109E9F1">
      <w:pPr>
        <w:pStyle w:val="107"/>
        <w:numPr>
          <w:ilvl w:val="1"/>
          <w:numId w:val="32"/>
        </w:numPr>
        <w:spacing w:before="312" w:after="312"/>
        <w:ind w:left="0" w:firstLine="0"/>
        <w:rPr>
          <w:rFonts w:hint="eastAsia"/>
          <w:szCs w:val="22"/>
          <w:lang w:val="en-US" w:eastAsia="zh-CN"/>
        </w:rPr>
      </w:pPr>
      <w:bookmarkStart w:id="36" w:name="_Toc20377529"/>
      <w:bookmarkStart w:id="37" w:name="_Toc20380540"/>
      <w:bookmarkStart w:id="38" w:name="_Toc11488"/>
      <w:r>
        <w:rPr>
          <w:rFonts w:hint="eastAsia"/>
          <w:szCs w:val="22"/>
          <w:lang w:val="en-US" w:eastAsia="zh-CN"/>
        </w:rPr>
        <w:t>栽培技术</w:t>
      </w:r>
      <w:bookmarkEnd w:id="36"/>
      <w:bookmarkEnd w:id="37"/>
      <w:bookmarkEnd w:id="38"/>
    </w:p>
    <w:p w14:paraId="7E5060BB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选地、整地</w:t>
      </w:r>
    </w:p>
    <w:p w14:paraId="00872ECC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</w:rPr>
      </w:pPr>
      <w:r>
        <w:rPr>
          <w:rFonts w:hint="eastAsia"/>
          <w:szCs w:val="22"/>
          <w:lang w:val="en-US" w:eastAsia="zh-CN"/>
        </w:rPr>
        <w:t>地块选择</w:t>
      </w:r>
    </w:p>
    <w:p w14:paraId="5E2E625F">
      <w:pPr>
        <w:pStyle w:val="23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 w:hAnsi="宋体" w:cs="宋体"/>
          <w:color w:val="000000"/>
          <w:szCs w:val="21"/>
        </w:rPr>
      </w:pPr>
      <w:r>
        <w:rPr>
          <w:rFonts w:hint="eastAsia" w:hAnsi="宋体" w:cs="宋体"/>
          <w:color w:val="000000"/>
          <w:szCs w:val="21"/>
        </w:rPr>
        <w:t>选择地势平坦，道路和排灌方便，土质疏松，肥沃，保水、保肥能力强的沙壤土或壤土，并避免与瓜类蔬菜连作的地块。</w:t>
      </w:r>
    </w:p>
    <w:p w14:paraId="364BEE91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整地作畦</w:t>
      </w:r>
    </w:p>
    <w:p w14:paraId="4B01BF2E">
      <w:pPr>
        <w:pStyle w:val="23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宋体" w:hAnsi="宋体" w:eastAsia="宋体" w:cs="宋体"/>
          <w:b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　　犁翻、整平、整精细，作畦，并整理好三级排灌沟。作畦，小畦宽100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000000"/>
          <w:szCs w:val="21"/>
        </w:rPr>
        <w:t>㎝</w:t>
      </w:r>
      <w:r>
        <w:rPr>
          <w:rFonts w:hint="eastAsia" w:ascii="宋体" w:hAnsi="宋体" w:eastAsia="宋体" w:cs="宋体"/>
          <w:color w:val="000000"/>
        </w:rPr>
        <w:t>～</w:t>
      </w:r>
      <w:r>
        <w:rPr>
          <w:rFonts w:hint="eastAsia" w:ascii="宋体" w:hAnsi="宋体" w:eastAsia="宋体" w:cs="宋体"/>
          <w:color w:val="000000"/>
          <w:szCs w:val="21"/>
        </w:rPr>
        <w:t>120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000000"/>
          <w:szCs w:val="21"/>
        </w:rPr>
        <w:t>㎝（包沟），畦沟深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000000"/>
          <w:szCs w:val="21"/>
        </w:rPr>
        <w:t>㎝～30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000000"/>
          <w:szCs w:val="21"/>
        </w:rPr>
        <w:t>㎝，种单行；小畦两边各预留65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000000"/>
          <w:szCs w:val="21"/>
        </w:rPr>
        <w:t>㎝～100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000000"/>
          <w:szCs w:val="21"/>
        </w:rPr>
        <w:t>㎝空地，待抽蔓后作大畦，畦宽（包沟）250㎝～300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000000"/>
          <w:szCs w:val="21"/>
        </w:rPr>
        <w:t>㎝。</w:t>
      </w:r>
    </w:p>
    <w:p w14:paraId="61EE4BF6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基肥</w:t>
      </w:r>
    </w:p>
    <w:p w14:paraId="50D1C5E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耕地时，每667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㎡施经充分腐熟的</w:t>
      </w:r>
      <w:r>
        <w:rPr>
          <w:rFonts w:hint="eastAsia" w:ascii="宋体" w:hAnsi="宋体" w:cs="宋体"/>
          <w:color w:val="auto"/>
          <w:lang w:eastAsia="zh-CN"/>
        </w:rPr>
        <w:t>有机质肥</w:t>
      </w:r>
      <w:r>
        <w:rPr>
          <w:rFonts w:hint="eastAsia" w:ascii="宋体" w:hAnsi="宋体" w:eastAsia="宋体" w:cs="宋体"/>
          <w:color w:val="auto"/>
        </w:rPr>
        <w:t>1500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㎏～2000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㎏，</w:t>
      </w:r>
      <w:r>
        <w:rPr>
          <w:rFonts w:hint="eastAsia"/>
          <w:color w:val="auto"/>
        </w:rPr>
        <w:t>硫酸钾复合肥2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㎏</w:t>
      </w:r>
      <w:r>
        <w:rPr>
          <w:rFonts w:hint="eastAsia" w:ascii="宋体" w:hAnsi="宋体" w:eastAsia="宋体" w:cs="宋体"/>
          <w:color w:val="auto"/>
        </w:rPr>
        <w:t>，饼肥30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㎏～40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㎏。基肥应</w:t>
      </w:r>
      <w:r>
        <w:rPr>
          <w:rFonts w:hint="eastAsia" w:ascii="宋体" w:hAnsi="宋体" w:eastAsia="宋体" w:cs="宋体"/>
          <w:color w:val="auto"/>
          <w:lang w:eastAsia="zh-CN"/>
        </w:rPr>
        <w:t>均匀撒施于大田，结合犁翻地深翻入土</w:t>
      </w:r>
      <w:r>
        <w:rPr>
          <w:rFonts w:hint="eastAsia" w:ascii="宋体" w:hAnsi="宋体" w:eastAsia="宋体" w:cs="宋体"/>
          <w:color w:val="auto"/>
        </w:rPr>
        <w:t>。</w:t>
      </w:r>
    </w:p>
    <w:p w14:paraId="3B41238E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播种及育苗</w:t>
      </w:r>
    </w:p>
    <w:p w14:paraId="34F1E105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播种期</w:t>
      </w:r>
    </w:p>
    <w:p w14:paraId="56F271CB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汕头</w:t>
      </w:r>
      <w:r>
        <w:rPr>
          <w:rFonts w:hint="eastAsia"/>
        </w:rPr>
        <w:t>地区春秋两季均可播种，以春播为主。春播期1月～2月，秋播期7月～8月。</w:t>
      </w:r>
    </w:p>
    <w:p w14:paraId="4696EC33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种子质量</w:t>
      </w:r>
    </w:p>
    <w:p w14:paraId="3DFFA8DD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黑体" w:eastAsia="黑体"/>
          <w:b/>
          <w:color w:val="FF0000"/>
          <w:lang w:eastAsia="zh-CN"/>
        </w:rPr>
        <w:t>　</w:t>
      </w:r>
      <w:r>
        <w:rPr>
          <w:rFonts w:hint="eastAsia" w:ascii="黑体" w:eastAsia="黑体"/>
          <w:b w:val="0"/>
          <w:bCs/>
          <w:color w:val="FF0000"/>
          <w:lang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选用纯度≥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95%，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净度≥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98%，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发芽率≥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85%，水分≤8%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的种子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。</w:t>
      </w:r>
    </w:p>
    <w:p w14:paraId="759F9848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用种量</w:t>
      </w:r>
    </w:p>
    <w:p w14:paraId="6CC415D5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春播每667</w:t>
      </w:r>
      <w:r>
        <w:rPr>
          <w:rFonts w:hint="eastAsia"/>
          <w:w w:val="25"/>
        </w:rPr>
        <w:t>　</w:t>
      </w:r>
      <w:r>
        <w:rPr>
          <w:rFonts w:hint="eastAsia"/>
        </w:rPr>
        <w:t>㎡用种量60</w:t>
      </w:r>
      <w:r>
        <w:rPr>
          <w:rFonts w:hint="eastAsia"/>
          <w:w w:val="25"/>
        </w:rPr>
        <w:t>　</w:t>
      </w:r>
      <w:r>
        <w:rPr>
          <w:rFonts w:hint="eastAsia"/>
        </w:rPr>
        <w:t>g～75</w:t>
      </w:r>
      <w:r>
        <w:rPr>
          <w:rFonts w:hint="eastAsia"/>
          <w:w w:val="25"/>
        </w:rPr>
        <w:t>　</w:t>
      </w:r>
      <w:r>
        <w:rPr>
          <w:rFonts w:hint="eastAsia"/>
        </w:rPr>
        <w:t>g；秋播每667</w:t>
      </w:r>
      <w:r>
        <w:rPr>
          <w:rFonts w:hint="eastAsia"/>
          <w:w w:val="25"/>
        </w:rPr>
        <w:t>　</w:t>
      </w:r>
      <w:r>
        <w:rPr>
          <w:rFonts w:hint="eastAsia"/>
        </w:rPr>
        <w:t>㎡用种量75</w:t>
      </w:r>
      <w:r>
        <w:rPr>
          <w:rFonts w:hint="eastAsia"/>
          <w:w w:val="25"/>
        </w:rPr>
        <w:t>　</w:t>
      </w:r>
      <w:r>
        <w:rPr>
          <w:rFonts w:hint="eastAsia"/>
        </w:rPr>
        <w:t>g～100</w:t>
      </w:r>
      <w:r>
        <w:rPr>
          <w:rFonts w:hint="eastAsia"/>
          <w:w w:val="25"/>
        </w:rPr>
        <w:t>　</w:t>
      </w:r>
      <w:r>
        <w:rPr>
          <w:rFonts w:hint="eastAsia"/>
        </w:rPr>
        <w:t>g。</w:t>
      </w:r>
    </w:p>
    <w:p w14:paraId="639CC060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种子处理及播种育苗</w:t>
      </w:r>
    </w:p>
    <w:p w14:paraId="308ACC25">
      <w:pPr>
        <w:pStyle w:val="23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宋体" w:hAnsi="宋体" w:eastAsia="宋体" w:cs="宋体"/>
          <w:b/>
          <w:color w:val="auto"/>
        </w:rPr>
      </w:pPr>
      <w:r>
        <w:rPr>
          <w:rFonts w:hint="eastAsia"/>
          <w:color w:val="000000"/>
        </w:rPr>
        <w:t>　　</w:t>
      </w:r>
      <w:r>
        <w:rPr>
          <w:rFonts w:hint="eastAsia" w:ascii="宋体" w:hAnsi="宋体" w:eastAsia="宋体" w:cs="宋体"/>
          <w:color w:val="auto"/>
        </w:rPr>
        <w:t>播种前先用55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℃温水浸种30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min，待自然冷却后再继续浸种7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h～10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h，然后洗净沥干，用湿布包起放入</w:t>
      </w:r>
      <w:r>
        <w:rPr>
          <w:rFonts w:hint="eastAsia" w:ascii="宋体" w:hAnsi="宋体" w:eastAsia="宋体" w:cs="宋体"/>
          <w:color w:val="auto"/>
          <w:lang w:val="en-US" w:eastAsia="zh-CN"/>
        </w:rPr>
        <w:t>30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℃～3</w:t>
      </w:r>
      <w:r>
        <w:rPr>
          <w:rFonts w:hint="eastAsia" w:ascii="宋体" w:hAnsi="宋体" w:eastAsia="宋体" w:cs="宋体"/>
          <w:color w:val="auto"/>
          <w:lang w:val="en-US" w:eastAsia="zh-CN"/>
        </w:rPr>
        <w:t>2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color w:val="auto"/>
        </w:rPr>
        <w:t>℃恒温条件下催芽，50%种子露白即可播种。春播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采用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育苗盘育苗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。育苗盘选用规格为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32孔或36孔，育苗基质应符合NY/T2118的规定。播种前育苗盘装上育苗基质，每孔打一个播种穴，穴深1.0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㎝，每穴播种子1-2粒，平放。播种后用育苗基质覆盖，把播种穴填平、轻压。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后盖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遮光网，轻浇一次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水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。待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种芽露出土面时，揭去覆盖物，浇透水。第一片真叶长出后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即可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间苗，每穴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留一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株健壮幼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苗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，幼苗长至三叶一心时可移植大田。苗期要做好防寒保暖。秋播采用催芽直播栽培方式。播种深度1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㎝～1.5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㎝，种</w:t>
      </w:r>
      <w:r>
        <w:rPr>
          <w:rFonts w:hint="eastAsia" w:ascii="宋体" w:hAnsi="宋体" w:eastAsia="宋体" w:cs="宋体"/>
          <w:color w:val="auto"/>
        </w:rPr>
        <w:t>子平放。</w:t>
      </w:r>
    </w:p>
    <w:p w14:paraId="3B839DBA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定植</w:t>
      </w:r>
    </w:p>
    <w:p w14:paraId="367D646B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春播在3月上、中旬定植（苗龄30</w:t>
      </w:r>
      <w:r>
        <w:rPr>
          <w:rFonts w:hint="eastAsia"/>
          <w:w w:val="25"/>
        </w:rPr>
        <w:t>　</w:t>
      </w:r>
      <w:r>
        <w:t>d</w:t>
      </w:r>
      <w:r>
        <w:rPr>
          <w:rFonts w:hint="eastAsia"/>
        </w:rPr>
        <w:t>～40</w:t>
      </w:r>
      <w:r>
        <w:rPr>
          <w:rFonts w:hint="eastAsia"/>
          <w:w w:val="25"/>
        </w:rPr>
        <w:t>　</w:t>
      </w:r>
      <w:r>
        <w:t>d</w:t>
      </w:r>
      <w:r>
        <w:rPr>
          <w:rFonts w:hint="eastAsia"/>
        </w:rPr>
        <w:t>），每小畦种1行，每穴栽1株的穴距40</w:t>
      </w:r>
      <w:r>
        <w:rPr>
          <w:rFonts w:hint="eastAsia"/>
          <w:w w:val="25"/>
        </w:rPr>
        <w:t>　</w:t>
      </w:r>
      <w:r>
        <w:rPr>
          <w:rFonts w:hint="eastAsia"/>
        </w:rPr>
        <w:t>㎝，栽2株的穴距80</w:t>
      </w:r>
      <w:r>
        <w:rPr>
          <w:rFonts w:hint="eastAsia"/>
          <w:w w:val="25"/>
        </w:rPr>
        <w:t>　</w:t>
      </w:r>
      <w:r>
        <w:rPr>
          <w:rFonts w:hint="eastAsia"/>
        </w:rPr>
        <w:t>㎝。定植后淋足定根水。</w:t>
      </w:r>
    </w:p>
    <w:p w14:paraId="2BF552B9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田间管理</w:t>
      </w:r>
    </w:p>
    <w:p w14:paraId="57C261D3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用水</w:t>
      </w:r>
    </w:p>
    <w:p w14:paraId="2A9B00AA">
      <w:pPr>
        <w:pStyle w:val="108"/>
        <w:numPr>
          <w:ilvl w:val="4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水质要求</w:t>
      </w:r>
    </w:p>
    <w:p w14:paraId="33DFCED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50" w:after="50" w:line="240" w:lineRule="auto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黑体" w:eastAsia="黑体"/>
          <w:b w:val="0"/>
          <w:bCs/>
          <w:color w:val="000000"/>
          <w:lang w:eastAsia="zh-CN"/>
        </w:rPr>
        <w:t>　　</w:t>
      </w:r>
      <w:r>
        <w:rPr>
          <w:rFonts w:hint="eastAsia" w:ascii="宋体" w:hAnsi="宋体" w:eastAsia="宋体" w:cs="宋体"/>
          <w:color w:val="000000"/>
        </w:rPr>
        <w:t>水质应符合</w:t>
      </w:r>
      <w:r>
        <w:rPr>
          <w:rFonts w:hint="eastAsia" w:ascii="宋体" w:hAnsi="宋体" w:cs="宋体"/>
          <w:color w:val="000000"/>
          <w:lang w:val="en-US" w:eastAsia="zh-CN"/>
        </w:rPr>
        <w:t xml:space="preserve">NY/T </w:t>
      </w:r>
      <w:r>
        <w:rPr>
          <w:rFonts w:hint="eastAsia" w:ascii="宋体" w:hAnsi="宋体" w:eastAsia="宋体" w:cs="宋体"/>
          <w:color w:val="000000"/>
        </w:rPr>
        <w:t>5010</w:t>
      </w:r>
      <w:r>
        <w:rPr>
          <w:rFonts w:hint="eastAsia" w:ascii="宋体" w:hAnsi="宋体" w:cs="宋体"/>
          <w:color w:val="000000"/>
          <w:lang w:val="en-US" w:eastAsia="zh-CN"/>
        </w:rPr>
        <w:t>-2016 无</w:t>
      </w:r>
      <w:bookmarkStart w:id="44" w:name="_GoBack"/>
      <w:bookmarkEnd w:id="44"/>
      <w:r>
        <w:rPr>
          <w:rFonts w:hint="eastAsia" w:ascii="宋体" w:hAnsi="宋体" w:cs="宋体"/>
          <w:color w:val="000000"/>
          <w:lang w:val="en-US" w:eastAsia="zh-CN"/>
        </w:rPr>
        <w:t>公害农产品 种植业产地环境条件3.1灌溉水</w:t>
      </w:r>
      <w:r>
        <w:rPr>
          <w:rFonts w:hint="eastAsia" w:ascii="宋体" w:hAnsi="宋体" w:eastAsia="宋体" w:cs="宋体"/>
          <w:color w:val="000000"/>
        </w:rPr>
        <w:t>规定中水质的要求。</w:t>
      </w:r>
    </w:p>
    <w:p w14:paraId="4BA8D309">
      <w:pPr>
        <w:pStyle w:val="108"/>
        <w:numPr>
          <w:ilvl w:val="4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淋灌水、排水</w:t>
      </w:r>
    </w:p>
    <w:p w14:paraId="508DF45A">
      <w:pPr>
        <w:pStyle w:val="108"/>
        <w:numPr>
          <w:numId w:val="0"/>
        </w:numPr>
        <w:spacing w:before="156" w:after="156"/>
        <w:ind w:firstLine="420" w:firstLineChars="200"/>
        <w:rPr>
          <w:rFonts w:hint="eastAsia" w:ascii="宋体" w:hAnsi="宋体" w:eastAsia="宋体" w:cs="宋体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南瓜播种后要淋足淋透水分，以利于种子发芽。苗期适当控制水，防止徒长。定植后淋足定根水，成活前要保持土壤湿润，提高成活率，促进早生快</w:t>
      </w:r>
      <w:r>
        <w:rPr>
          <w:rFonts w:hint="eastAsia" w:ascii="宋体" w:hAnsi="宋体" w:eastAsia="宋体" w:cs="宋体"/>
          <w:color w:val="000000"/>
          <w:lang w:eastAsia="zh-CN"/>
        </w:rPr>
        <w:t>发</w:t>
      </w:r>
      <w:r>
        <w:rPr>
          <w:rFonts w:hint="eastAsia" w:ascii="宋体" w:hAnsi="宋体" w:eastAsia="宋体" w:cs="宋体"/>
          <w:color w:val="000000"/>
        </w:rPr>
        <w:t>。一般情况下，视天气和植株生</w:t>
      </w:r>
      <w:r>
        <w:rPr>
          <w:rFonts w:hint="eastAsia" w:ascii="宋体" w:hAnsi="宋体" w:eastAsia="宋体" w:cs="宋体"/>
          <w:color w:val="000000"/>
          <w:lang w:eastAsia="zh-CN"/>
        </w:rPr>
        <w:t>长</w:t>
      </w:r>
      <w:r>
        <w:rPr>
          <w:rFonts w:hint="eastAsia" w:ascii="宋体" w:hAnsi="宋体" w:eastAsia="宋体" w:cs="宋体"/>
          <w:color w:val="000000"/>
        </w:rPr>
        <w:t>势进行淋水或灌水，做到地不干不淋、植株生长势壮旺不淋，雨后及时排干积水。</w:t>
      </w:r>
    </w:p>
    <w:p w14:paraId="4AE26DAC">
      <w:pPr>
        <w:pStyle w:val="108"/>
        <w:keepNext w:val="0"/>
        <w:keepLines w:val="0"/>
        <w:pageBreakBefore w:val="0"/>
        <w:widowControl/>
        <w:numPr>
          <w:ilvl w:val="3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/>
        <w:ind w:left="0" w:leftChars="0" w:firstLine="0" w:firstLine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用肥</w:t>
      </w:r>
    </w:p>
    <w:p w14:paraId="77D8760D">
      <w:pPr>
        <w:pStyle w:val="23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 w:ascii="黑体" w:eastAsia="黑体"/>
          <w:b/>
          <w:color w:val="auto"/>
        </w:rPr>
      </w:pPr>
      <w:r>
        <w:rPr>
          <w:rFonts w:hint="eastAsia"/>
          <w:color w:val="auto"/>
          <w:lang w:val="en-US" w:eastAsia="zh-CN"/>
        </w:rPr>
        <w:t>肥料使用按NY/T 496执行。</w:t>
      </w:r>
      <w:r>
        <w:rPr>
          <w:rFonts w:hint="eastAsia"/>
          <w:color w:val="auto"/>
        </w:rPr>
        <w:t>定植成活或直播瓜苗第二片真叶展开后，应视苗情适当施提苗肥1次～2次，每次每667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㎡施尿素3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kg～4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kg。当瓜蔓有8片～10片真叶时，结合培土，重施一次倒蔓肥，每667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㎡施经充分腐熟的土杂粪1000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㎏，硫酸钾复合肥20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㎏。座果后重施一次追肥，每667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㎡施硫酸钾复合肥20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㎏。</w:t>
      </w:r>
    </w:p>
    <w:p w14:paraId="662077F6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0" w:firstLineChars="0"/>
        <w:textAlignment w:val="auto"/>
        <w:rPr>
          <w:rFonts w:hint="eastAsia" w:hAnsi="宋体"/>
          <w:color w:val="000000"/>
        </w:rPr>
      </w:pPr>
    </w:p>
    <w:p w14:paraId="5D9804FC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整枝压蔓</w:t>
      </w:r>
    </w:p>
    <w:p w14:paraId="6F0BC25D">
      <w:pPr>
        <w:pStyle w:val="23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/>
          <w:b/>
          <w:color w:val="000000"/>
        </w:rPr>
      </w:pPr>
      <w:r>
        <w:rPr>
          <w:rFonts w:hint="eastAsia"/>
          <w:color w:val="000000"/>
        </w:rPr>
        <w:t>可采用摘顶法或摘除侧枝法。摘顶法是在植株长到6片～8片真叶时，把顶芽摘除，留2条～3条子蔓，在每条子蔓上留1个～2个瓜。摘除侧枝法是只留一条主蔓，把子蔓、孙蔓全部摘除，并在主蔓长40㎝～50㎝处开始压蔓，共压蔓3道～4道，本法可适当密植。</w:t>
      </w:r>
    </w:p>
    <w:p w14:paraId="4FC5B5C1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保花保果</w:t>
      </w:r>
    </w:p>
    <w:p w14:paraId="481B9018">
      <w:pPr>
        <w:pStyle w:val="24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/>
          <w:b/>
          <w:color w:val="000000"/>
        </w:rPr>
      </w:pPr>
      <w:r>
        <w:rPr>
          <w:rFonts w:hint="eastAsia"/>
          <w:color w:val="000000"/>
        </w:rPr>
        <w:t>　　</w:t>
      </w:r>
      <w:r>
        <w:rPr>
          <w:rFonts w:hint="eastAsia" w:ascii="宋体" w:hAnsi="Times New Roman" w:eastAsia="宋体" w:cs="Times New Roman"/>
          <w:color w:val="000000"/>
          <w:sz w:val="21"/>
          <w:lang w:val="en-US" w:eastAsia="zh-CN" w:bidi="ar-SA"/>
        </w:rPr>
        <w:t>开花期要进行人工辅助授粉，提高座果率。特别在阴雨天气情况下，昆虫活动受阻，影响传粉，进行人工辅助授粉更为重要。</w:t>
      </w:r>
    </w:p>
    <w:p w14:paraId="279C2AA4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病虫害防治</w:t>
      </w:r>
    </w:p>
    <w:p w14:paraId="367A81BB">
      <w:pPr>
        <w:pStyle w:val="108"/>
        <w:numPr>
          <w:ilvl w:val="4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主要病虫害</w:t>
      </w:r>
    </w:p>
    <w:p w14:paraId="1103E2D5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主要病害</w:t>
      </w:r>
    </w:p>
    <w:p w14:paraId="297EB475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0" w:firstLineChars="0"/>
        <w:textAlignment w:val="auto"/>
        <w:rPr>
          <w:rFonts w:hint="eastAsia"/>
          <w:color w:val="000000"/>
        </w:rPr>
      </w:pPr>
      <w:r>
        <w:rPr>
          <w:rFonts w:hint="eastAsia" w:ascii="黑体" w:hAnsi="黑体" w:eastAsia="黑体" w:cs="黑体"/>
          <w:color w:val="000000"/>
          <w:lang w:eastAsia="zh-CN"/>
        </w:rPr>
        <w:t>　　</w:t>
      </w:r>
      <w:r>
        <w:rPr>
          <w:rFonts w:hint="eastAsia"/>
          <w:color w:val="000000"/>
        </w:rPr>
        <w:t xml:space="preserve"> </w:t>
      </w:r>
      <w:r>
        <w:rPr>
          <w:rFonts w:hint="eastAsia"/>
          <w:bCs/>
          <w:color w:val="000000"/>
        </w:rPr>
        <w:t>疫病、</w:t>
      </w:r>
      <w:r>
        <w:rPr>
          <w:rFonts w:hint="eastAsia"/>
          <w:color w:val="000000"/>
        </w:rPr>
        <w:t>白粉病、霜霉病等。</w:t>
      </w:r>
    </w:p>
    <w:p w14:paraId="35762374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主要虫害</w:t>
      </w:r>
    </w:p>
    <w:p w14:paraId="06E9AA92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0" w:firstLineChars="0"/>
        <w:textAlignment w:val="auto"/>
        <w:rPr>
          <w:rFonts w:hint="eastAsia"/>
          <w:color w:val="000000"/>
        </w:rPr>
      </w:pPr>
      <w:r>
        <w:rPr>
          <w:rFonts w:hint="eastAsia" w:ascii="黑体" w:hAnsi="黑体" w:eastAsia="黑体" w:cs="黑体"/>
          <w:color w:val="000000"/>
          <w:lang w:eastAsia="zh-CN"/>
        </w:rPr>
        <w:t>　　</w:t>
      </w:r>
      <w:r>
        <w:rPr>
          <w:rFonts w:hint="eastAsia"/>
          <w:color w:val="000000"/>
        </w:rPr>
        <w:t>蚜虫、黄守瓜、温室白粉虱、瓜绢螟、瓜实蝇等。</w:t>
      </w:r>
    </w:p>
    <w:p w14:paraId="031052D9">
      <w:pPr>
        <w:pStyle w:val="108"/>
        <w:numPr>
          <w:ilvl w:val="4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防治原则</w:t>
      </w:r>
    </w:p>
    <w:p w14:paraId="0C74B3E2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0" w:after="10" w:line="240" w:lineRule="auto"/>
        <w:ind w:firstLine="0" w:firstLineChars="0"/>
        <w:textAlignment w:val="auto"/>
        <w:rPr>
          <w:rFonts w:hint="eastAsia" w:ascii="黑体" w:eastAsia="黑体"/>
          <w:b/>
          <w:color w:val="000000"/>
        </w:rPr>
      </w:pPr>
      <w:r>
        <w:rPr>
          <w:rFonts w:hint="eastAsia" w:hAnsi="宋体" w:cs="宋体"/>
          <w:color w:val="000000"/>
          <w:szCs w:val="21"/>
        </w:rPr>
        <w:t>　　始终贯彻“预防为主，综合防治”的植保方针，综合运用农业、物理、生态、生物等防治措施。</w:t>
      </w:r>
    </w:p>
    <w:p w14:paraId="6D551605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农业防治</w:t>
      </w:r>
    </w:p>
    <w:p w14:paraId="48B41AA1">
      <w:pPr>
        <w:pStyle w:val="23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0" w:after="10" w:line="240" w:lineRule="auto"/>
        <w:ind w:firstLine="420" w:firstLineChars="0"/>
        <w:textAlignment w:val="auto"/>
        <w:rPr>
          <w:rFonts w:hint="eastAsia"/>
          <w:color w:val="000000"/>
        </w:rPr>
      </w:pPr>
      <w:r>
        <w:rPr>
          <w:rFonts w:hint="eastAsia" w:hAnsi="宋体" w:cs="宋体"/>
          <w:color w:val="000000"/>
          <w:szCs w:val="21"/>
        </w:rPr>
        <w:t>对种子、苗床进行消毒；培育无病虫壮苗；科学施肥、用水。</w:t>
      </w:r>
    </w:p>
    <w:p w14:paraId="17101812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物理防治</w:t>
      </w:r>
    </w:p>
    <w:p w14:paraId="15FF06C7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0" w:after="10" w:line="24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温水浸种、设施防护、黄板诱杀、银灰膜避蚜，设置粘蝇纸诱杀害虫等。</w:t>
      </w:r>
    </w:p>
    <w:p w14:paraId="44D792A6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生物防治</w:t>
      </w:r>
    </w:p>
    <w:p w14:paraId="11AF079F">
      <w:pPr>
        <w:pStyle w:val="23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0" w:after="10" w:line="240" w:lineRule="auto"/>
        <w:ind w:firstLine="420" w:firstLineChars="0"/>
        <w:textAlignment w:val="auto"/>
        <w:rPr>
          <w:rFonts w:hint="eastAsia" w:ascii="黑体" w:eastAsia="黑体"/>
          <w:b/>
          <w:color w:val="000000"/>
        </w:rPr>
      </w:pPr>
      <w:r>
        <w:rPr>
          <w:rFonts w:hint="eastAsia" w:hAnsi="宋体" w:cs="宋体"/>
          <w:color w:val="000000"/>
          <w:szCs w:val="21"/>
        </w:rPr>
        <w:t>采用植物源农药防治病虫害及保护天敌等措施。</w:t>
      </w:r>
    </w:p>
    <w:p w14:paraId="0BFB153A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药剂防治</w:t>
      </w:r>
    </w:p>
    <w:p w14:paraId="45E19552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0" w:after="10" w:line="240" w:lineRule="auto"/>
        <w:ind w:firstLine="0" w:firstLineChars="0"/>
        <w:textAlignment w:val="auto"/>
        <w:rPr>
          <w:rFonts w:hint="eastAsia"/>
          <w:color w:val="auto"/>
        </w:rPr>
      </w:pPr>
      <w:r>
        <w:rPr>
          <w:rFonts w:hint="eastAsia"/>
          <w:color w:val="000000"/>
          <w:lang w:eastAsia="zh-CN"/>
        </w:rPr>
        <w:t>　　</w:t>
      </w:r>
      <w:r>
        <w:rPr>
          <w:rFonts w:hint="eastAsia" w:hAnsi="宋体" w:cs="宋体"/>
          <w:color w:val="auto"/>
          <w:szCs w:val="21"/>
        </w:rPr>
        <w:t>农药使用按</w:t>
      </w:r>
      <w:r>
        <w:rPr>
          <w:rFonts w:hint="eastAsia" w:hAnsi="宋体" w:cs="宋体"/>
          <w:color w:val="auto"/>
          <w:szCs w:val="21"/>
          <w:lang w:val="en-US" w:eastAsia="zh-CN"/>
        </w:rPr>
        <w:t xml:space="preserve">NY/T </w:t>
      </w:r>
      <w:r>
        <w:rPr>
          <w:rFonts w:hint="eastAsia" w:hAnsi="宋体" w:cs="宋体"/>
          <w:color w:val="auto"/>
          <w:szCs w:val="21"/>
        </w:rPr>
        <w:t>1276和</w:t>
      </w:r>
      <w:r>
        <w:rPr>
          <w:rFonts w:hint="eastAsia" w:hAnsi="宋体" w:cs="宋体"/>
          <w:color w:val="auto"/>
          <w:szCs w:val="21"/>
          <w:lang w:val="en-US" w:eastAsia="zh-CN"/>
        </w:rPr>
        <w:t xml:space="preserve">GB/T </w:t>
      </w:r>
      <w:r>
        <w:rPr>
          <w:rFonts w:hint="eastAsia" w:hAnsi="宋体" w:cs="宋体"/>
          <w:color w:val="auto"/>
          <w:szCs w:val="21"/>
        </w:rPr>
        <w:t>8321.10执行。视病情和虫情适当用药，合理混用，轮换、交替用药，严防滥用药。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lang w:eastAsia="zh-CN"/>
        </w:rPr>
        <w:t>主要病虫害药剂防治方法见附录Ａ。</w:t>
      </w:r>
    </w:p>
    <w:p w14:paraId="6F37F871">
      <w:pPr>
        <w:pStyle w:val="108"/>
        <w:numPr>
          <w:ilvl w:val="3"/>
          <w:numId w:val="32"/>
        </w:numPr>
        <w:spacing w:before="156" w:after="156"/>
        <w:ind w:left="0" w:leftChars="0" w:firstLine="0" w:firstLineChars="0"/>
        <w:rPr>
          <w:rFonts w:hint="eastAsia"/>
          <w:szCs w:val="22"/>
          <w:lang w:val="en-US" w:eastAsia="zh-CN"/>
        </w:rPr>
      </w:pPr>
      <w:bookmarkStart w:id="39" w:name="SectionMark5"/>
      <w:r>
        <w:rPr>
          <w:rFonts w:hint="eastAsia"/>
          <w:szCs w:val="22"/>
          <w:lang w:val="en-US" w:eastAsia="zh-CN"/>
        </w:rPr>
        <w:t>采收与贮存</w:t>
      </w:r>
    </w:p>
    <w:p w14:paraId="30DA8647">
      <w:pPr>
        <w:pStyle w:val="23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南瓜在谢花后30</w:t>
      </w:r>
      <w:r>
        <w:rPr>
          <w:rFonts w:hint="eastAsia"/>
          <w:w w:val="25"/>
        </w:rPr>
        <w:t>　</w:t>
      </w:r>
      <w:r>
        <w:t>d</w:t>
      </w:r>
      <w:r>
        <w:rPr>
          <w:rFonts w:hint="eastAsia"/>
        </w:rPr>
        <w:t>～45</w:t>
      </w:r>
      <w:r>
        <w:rPr>
          <w:rFonts w:hint="eastAsia"/>
          <w:w w:val="25"/>
        </w:rPr>
        <w:t>　</w:t>
      </w:r>
      <w:r>
        <w:t>d</w:t>
      </w:r>
      <w:r>
        <w:rPr>
          <w:rFonts w:hint="eastAsia"/>
        </w:rPr>
        <w:t>，瓜皮由绿色转变为橙黄有蜡粉时可采收。贮存的南瓜在上午阴凉时采收为宜，同时在采收搬运过程中，应该轻放，避免堆压过重发生腐烂。一般情况下，成熟的南瓜在温度10</w:t>
      </w:r>
      <w:r>
        <w:rPr>
          <w:rFonts w:hint="eastAsia"/>
          <w:w w:val="25"/>
        </w:rPr>
        <w:t>　</w:t>
      </w:r>
      <w:r>
        <w:rPr>
          <w:rFonts w:hint="eastAsia"/>
        </w:rPr>
        <w:t>℃～16</w:t>
      </w:r>
      <w:r>
        <w:rPr>
          <w:rFonts w:hint="eastAsia"/>
          <w:w w:val="25"/>
        </w:rPr>
        <w:t>　</w:t>
      </w:r>
      <w:r>
        <w:rPr>
          <w:rFonts w:hint="eastAsia"/>
        </w:rPr>
        <w:t>℃、相对湿度60%的条件下可贮藏60</w:t>
      </w:r>
      <w:r>
        <w:rPr>
          <w:rFonts w:hint="eastAsia"/>
          <w:w w:val="25"/>
        </w:rPr>
        <w:t>　</w:t>
      </w:r>
      <w:r>
        <w:t>d</w:t>
      </w:r>
      <w:r>
        <w:rPr>
          <w:rFonts w:hint="eastAsia"/>
        </w:rPr>
        <w:t>～80</w:t>
      </w:r>
      <w:r>
        <w:rPr>
          <w:rFonts w:hint="eastAsia"/>
          <w:w w:val="25"/>
        </w:rPr>
        <w:t>　</w:t>
      </w:r>
      <w:r>
        <w:t>d</w:t>
      </w:r>
      <w:r>
        <w:rPr>
          <w:rFonts w:hint="eastAsia"/>
        </w:rPr>
        <w:t>。</w:t>
      </w:r>
    </w:p>
    <w:p w14:paraId="5999F3D7">
      <w:pPr>
        <w:rPr>
          <w:rFonts w:hint="eastAsia"/>
        </w:rPr>
      </w:pPr>
      <w:r>
        <w:rPr>
          <w:rFonts w:hint="eastAsia"/>
        </w:rPr>
        <w:br w:type="page"/>
      </w:r>
    </w:p>
    <w:bookmarkEnd w:id="13"/>
    <w:bookmarkEnd w:id="18"/>
    <w:bookmarkEnd w:id="19"/>
    <w:bookmarkEnd w:id="20"/>
    <w:bookmarkEnd w:id="21"/>
    <w:bookmarkEnd w:id="22"/>
    <w:bookmarkEnd w:id="39"/>
    <w:p w14:paraId="66E86C15">
      <w:pPr>
        <w:pStyle w:val="79"/>
        <w:bidi w:val="0"/>
        <w:ind w:left="0" w:leftChars="0" w:firstLine="0" w:firstLineChars="0"/>
      </w:pPr>
      <w:bookmarkStart w:id="40" w:name="_Toc1063"/>
      <w:bookmarkStart w:id="41" w:name="BookMark5"/>
      <w:r>
        <w:br w:type="textWrapping"/>
      </w:r>
      <w:bookmarkStart w:id="42" w:name="_Toc146104077"/>
      <w:r>
        <w:rPr>
          <w:rFonts w:hint="eastAsia"/>
        </w:rPr>
        <w:t>（资料性）</w:t>
      </w:r>
      <w:r>
        <w:br w:type="textWrapping"/>
      </w:r>
      <w:r>
        <w:rPr>
          <w:rFonts w:hint="eastAsia"/>
        </w:rPr>
        <w:t>蜜本南瓜主要病虫害药剂防治方法</w:t>
      </w:r>
      <w:bookmarkEnd w:id="40"/>
      <w:bookmarkEnd w:id="42"/>
    </w:p>
    <w:tbl>
      <w:tblPr>
        <w:tblStyle w:val="28"/>
        <w:tblW w:w="890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5"/>
        <w:gridCol w:w="2224"/>
        <w:gridCol w:w="2225"/>
        <w:gridCol w:w="2226"/>
      </w:tblGrid>
      <w:tr w14:paraId="4D417D1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2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621ABF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防治对象</w:t>
            </w:r>
          </w:p>
        </w:tc>
        <w:tc>
          <w:tcPr>
            <w:tcW w:w="2224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EEF40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药剂名称</w:t>
            </w:r>
          </w:p>
        </w:tc>
        <w:tc>
          <w:tcPr>
            <w:tcW w:w="2225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49DEC3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施药方法</w:t>
            </w:r>
          </w:p>
        </w:tc>
        <w:tc>
          <w:tcPr>
            <w:tcW w:w="2226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B0FE00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安全间隔期≥d</w:t>
            </w:r>
          </w:p>
        </w:tc>
      </w:tr>
      <w:tr w14:paraId="2DC8E7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2225" w:type="dxa"/>
            <w:vMerge w:val="restar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F1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疫病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霜霉病</w:t>
            </w:r>
          </w:p>
        </w:tc>
        <w:tc>
          <w:tcPr>
            <w:tcW w:w="222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7B118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甲霜灵·锰锌</w:t>
            </w:r>
          </w:p>
        </w:tc>
        <w:tc>
          <w:tcPr>
            <w:tcW w:w="22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E4D8A7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72C596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396D6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22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52C2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9E9A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418B1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C87F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8C28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2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8B919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F95DE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烯酰吗啉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9EBB31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7B801E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3B4DE3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22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8F09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E654A3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吡唑醚菌酯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FAB87E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6011B8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64F67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22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30BD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BE8F86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霜脲氰·锰锌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9746A4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F2D5E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5471B7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225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4D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白粉病</w:t>
            </w: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0CB18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甲基托布津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4370CD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FCE13C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186FA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22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987F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0EC7A4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嘧菌酯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02B7AE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11304D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6E959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225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9EF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蚜虫</w:t>
            </w:r>
          </w:p>
          <w:p w14:paraId="2BD3F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白粉虱</w:t>
            </w: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C7F98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多杀霉素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AACEE8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5C8A0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 w14:paraId="081632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22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E4D6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67A193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吡虫啉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352406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59DB3E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424DDB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225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514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黄守瓜</w:t>
            </w: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87FCB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氯虫苯甲酰胺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E287C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3F690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72F603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22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7C52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7A15A2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溴虫腈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4DEC3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0F94A7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</w:tr>
      <w:tr w14:paraId="33CDDA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225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93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瓜绢螟</w:t>
            </w:r>
          </w:p>
          <w:p w14:paraId="32F7E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瓜实蝇</w:t>
            </w: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E76FC1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阿维菌素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C88E71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D929CD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098FB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22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994E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78815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乙基多杀菌素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C3A3F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F2C54C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7E51AB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22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7536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D91D64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氯虫苯甲酰胺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12C52E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44828F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bookmarkEnd w:id="41"/>
    </w:tbl>
    <w:p w14:paraId="75040781">
      <w:pPr>
        <w:pStyle w:val="59"/>
        <w:ind w:firstLine="360" w:firstLineChars="200"/>
        <w:jc w:val="left"/>
        <w:rPr>
          <w:rFonts w:hint="eastAsia"/>
          <w:sz w:val="18"/>
          <w:szCs w:val="16"/>
        </w:rPr>
      </w:pPr>
      <w:bookmarkStart w:id="43" w:name="BookMark8"/>
      <w:r>
        <w:rPr>
          <w:rFonts w:hint="eastAsia"/>
          <w:sz w:val="18"/>
          <w:szCs w:val="16"/>
        </w:rPr>
        <w:t>注：请严格按照农药标签说明使用，严格遵守安全间隔期</w:t>
      </w:r>
    </w:p>
    <w:p w14:paraId="68A710CF">
      <w:pPr>
        <w:pStyle w:val="59"/>
        <w:ind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3"/>
    </w:p>
    <w:sectPr>
      <w:headerReference r:id="rId17" w:type="default"/>
      <w:footerReference r:id="rId19" w:type="default"/>
      <w:headerReference r:id="rId18" w:type="even"/>
      <w:footerReference r:id="rId20" w:type="even"/>
      <w:pgSz w:w="11906" w:h="16838"/>
      <w:pgMar w:top="1928" w:right="1134" w:bottom="1134" w:left="1134" w:header="1418" w:footer="1134" w:gutter="284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85912"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DF4DE">
    <w:pPr>
      <w:pStyle w:val="18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6A257">
    <w:pPr>
      <w:pStyle w:val="5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EC6AE">
    <w:pPr>
      <w:pStyle w:val="54"/>
    </w:pPr>
    <w:r>
      <w:fldChar w:fldCharType="begin"/>
    </w:r>
    <w:r>
      <w:instrText xml:space="preserve"> PAGE   \* MERGEFORMAT \* MERGEFORMAT </w:instrText>
    </w:r>
    <w:r>
      <w:fldChar w:fldCharType="separate"/>
    </w:r>
    <w:r>
      <w:t>II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4C2B0">
    <w:pPr>
      <w:pStyle w:val="5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7C94B">
    <w:pPr>
      <w:pStyle w:val="54"/>
    </w:pPr>
    <w:r>
      <w:fldChar w:fldCharType="begin"/>
    </w:r>
    <w:r>
      <w:instrText xml:space="preserve"> PAGE   \* MERGEFORMAT \* MERGEFORMAT </w:instrText>
    </w:r>
    <w:r>
      <w:fldChar w:fldCharType="separate"/>
    </w:r>
    <w:r>
      <w:t>II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D4714">
    <w:pPr>
      <w:pStyle w:val="5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FDE80">
    <w:pPr>
      <w:pStyle w:val="54"/>
    </w:pPr>
    <w:r>
      <w:fldChar w:fldCharType="begin"/>
    </w:r>
    <w:r>
      <w:instrText xml:space="preserve"> PAGE   \* MERGEFORMAT \* MERGEFORMAT 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DC32D"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84A2E">
    <w:pPr>
      <w:pStyle w:val="19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52966">
    <w:pPr>
      <w:pStyle w:val="64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DB4405/T 00—2024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3CF23">
    <w:pPr>
      <w:pStyle w:val="65"/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DB4405/T 00—2024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52433D">
    <w:pPr>
      <w:pStyle w:val="64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DB4405/T 00—2024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701B9">
    <w:pPr>
      <w:pStyle w:val="65"/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DB4405/T 00—2024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A6A9E">
    <w:pPr>
      <w:pStyle w:val="64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DB4405/T 00—2024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25C52">
    <w:pPr>
      <w:pStyle w:val="65"/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DB4405/T 00—2024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7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2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1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6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8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1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3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4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5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6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7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4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70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2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3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8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C57AE96"/>
    <w:multiLevelType w:val="multilevel"/>
    <w:tmpl w:val="1C57AE96"/>
    <w:lvl w:ilvl="0" w:tentative="0">
      <w:start w:val="1"/>
      <w:numFmt w:val="upperLetter"/>
      <w:pStyle w:val="79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1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2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4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5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7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1EAA1992"/>
    <w:multiLevelType w:val="multilevel"/>
    <w:tmpl w:val="1EAA1992"/>
    <w:lvl w:ilvl="0" w:tentative="0">
      <w:start w:val="1"/>
      <w:numFmt w:val="none"/>
      <w:pStyle w:val="95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1">
    <w:nsid w:val="2C5917C3"/>
    <w:multiLevelType w:val="multilevel"/>
    <w:tmpl w:val="2C5917C3"/>
    <w:lvl w:ilvl="0" w:tentative="0">
      <w:start w:val="1"/>
      <w:numFmt w:val="none"/>
      <w:pStyle w:val="135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90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5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 w:tentative="0">
      <w:start w:val="1"/>
      <w:numFmt w:val="lowerLetter"/>
      <w:pStyle w:val="10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 w:tentative="0">
      <w:start w:val="1"/>
      <w:numFmt w:val="lowerLetter"/>
      <w:pStyle w:val="177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2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20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8802D1C"/>
    <w:multiLevelType w:val="multilevel"/>
    <w:tmpl w:val="48802D1C"/>
    <w:lvl w:ilvl="0" w:tentative="0">
      <w:start w:val="1"/>
      <w:numFmt w:val="upperLetter"/>
      <w:pStyle w:val="201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6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>
    <w:nsid w:val="4B733A5F"/>
    <w:multiLevelType w:val="multilevel"/>
    <w:tmpl w:val="4B733A5F"/>
    <w:lvl w:ilvl="0" w:tentative="0">
      <w:start w:val="1"/>
      <w:numFmt w:val="decimal"/>
      <w:pStyle w:val="186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6">
    <w:nsid w:val="4E5D0534"/>
    <w:multiLevelType w:val="multilevel"/>
    <w:tmpl w:val="4E5D0534"/>
    <w:lvl w:ilvl="0" w:tentative="0">
      <w:start w:val="1"/>
      <w:numFmt w:val="decimal"/>
      <w:pStyle w:val="119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7">
    <w:nsid w:val="54632751"/>
    <w:multiLevelType w:val="multilevel"/>
    <w:tmpl w:val="54632751"/>
    <w:lvl w:ilvl="0" w:tentative="0">
      <w:start w:val="1"/>
      <w:numFmt w:val="none"/>
      <w:pStyle w:val="96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117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9">
    <w:nsid w:val="5603797C"/>
    <w:multiLevelType w:val="multilevel"/>
    <w:tmpl w:val="5603797C"/>
    <w:lvl w:ilvl="0" w:tentative="0">
      <w:start w:val="1"/>
      <w:numFmt w:val="upperLetter"/>
      <w:pStyle w:val="202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80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64D2089"/>
    <w:multiLevelType w:val="multilevel"/>
    <w:tmpl w:val="564D2089"/>
    <w:lvl w:ilvl="0" w:tentative="0">
      <w:start w:val="1"/>
      <w:numFmt w:val="none"/>
      <w:pStyle w:val="114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115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192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1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100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6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5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8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68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7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1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6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2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8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2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9"/>
  </w:num>
  <w:num w:numId="5">
    <w:abstractNumId w:val="19"/>
  </w:num>
  <w:num w:numId="6">
    <w:abstractNumId w:val="14"/>
  </w:num>
  <w:num w:numId="7">
    <w:abstractNumId w:val="8"/>
  </w:num>
  <w:num w:numId="8">
    <w:abstractNumId w:val="3"/>
  </w:num>
  <w:num w:numId="9">
    <w:abstractNumId w:val="10"/>
  </w:num>
  <w:num w:numId="10">
    <w:abstractNumId w:val="17"/>
  </w:num>
  <w:num w:numId="11">
    <w:abstractNumId w:val="25"/>
  </w:num>
  <w:num w:numId="12">
    <w:abstractNumId w:val="12"/>
  </w:num>
  <w:num w:numId="13">
    <w:abstractNumId w:val="13"/>
  </w:num>
  <w:num w:numId="14">
    <w:abstractNumId w:val="7"/>
  </w:num>
  <w:num w:numId="15">
    <w:abstractNumId w:val="20"/>
  </w:num>
  <w:num w:numId="16">
    <w:abstractNumId w:val="22"/>
  </w:num>
  <w:num w:numId="17">
    <w:abstractNumId w:val="18"/>
  </w:num>
  <w:num w:numId="18">
    <w:abstractNumId w:val="29"/>
  </w:num>
  <w:num w:numId="19">
    <w:abstractNumId w:val="16"/>
  </w:num>
  <w:num w:numId="20">
    <w:abstractNumId w:val="1"/>
  </w:num>
  <w:num w:numId="21">
    <w:abstractNumId w:val="11"/>
  </w:num>
  <w:num w:numId="22">
    <w:abstractNumId w:val="30"/>
  </w:num>
  <w:num w:numId="23">
    <w:abstractNumId w:val="21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5"/>
  </w:num>
  <w:num w:numId="30">
    <w:abstractNumId w:val="24"/>
  </w:num>
  <w:num w:numId="31">
    <w:abstractNumId w:val="23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dit="forms"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954272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14D2"/>
    <w:rsid w:val="00022184"/>
    <w:rsid w:val="00022762"/>
    <w:rsid w:val="000238E0"/>
    <w:rsid w:val="000249DB"/>
    <w:rsid w:val="0002595E"/>
    <w:rsid w:val="000303C3"/>
    <w:rsid w:val="00031F1B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3F1F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413E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7E0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A14"/>
    <w:rsid w:val="00124E4F"/>
    <w:rsid w:val="001254F2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5B4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16F2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B7F8E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319D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362B2"/>
    <w:rsid w:val="0044083F"/>
    <w:rsid w:val="00441AE7"/>
    <w:rsid w:val="00445574"/>
    <w:rsid w:val="004467FB"/>
    <w:rsid w:val="00450B7F"/>
    <w:rsid w:val="00452D6B"/>
    <w:rsid w:val="00454484"/>
    <w:rsid w:val="0045517B"/>
    <w:rsid w:val="00463B77"/>
    <w:rsid w:val="00463C7B"/>
    <w:rsid w:val="004644A6"/>
    <w:rsid w:val="004659BD"/>
    <w:rsid w:val="00470775"/>
    <w:rsid w:val="004732E6"/>
    <w:rsid w:val="004746B1"/>
    <w:rsid w:val="0047583F"/>
    <w:rsid w:val="00475DE8"/>
    <w:rsid w:val="00480702"/>
    <w:rsid w:val="00481C44"/>
    <w:rsid w:val="00484936"/>
    <w:rsid w:val="00484969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12A0"/>
    <w:rsid w:val="004B2701"/>
    <w:rsid w:val="004B2E1B"/>
    <w:rsid w:val="004B381F"/>
    <w:rsid w:val="004B3AA8"/>
    <w:rsid w:val="004B3E93"/>
    <w:rsid w:val="004B63A6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6F04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12EE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5F76EF"/>
    <w:rsid w:val="006015CE"/>
    <w:rsid w:val="00604784"/>
    <w:rsid w:val="00606419"/>
    <w:rsid w:val="00607D29"/>
    <w:rsid w:val="006110D5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B0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3CDA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86B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076BC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0EAD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565F"/>
    <w:rsid w:val="007D6518"/>
    <w:rsid w:val="007D76BD"/>
    <w:rsid w:val="007E0BF1"/>
    <w:rsid w:val="007F0ED8"/>
    <w:rsid w:val="007F0F63"/>
    <w:rsid w:val="007F75CE"/>
    <w:rsid w:val="007F7B16"/>
    <w:rsid w:val="008013A4"/>
    <w:rsid w:val="00801681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58C4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935"/>
    <w:rsid w:val="009062E6"/>
    <w:rsid w:val="00910858"/>
    <w:rsid w:val="00911BE5"/>
    <w:rsid w:val="00913CA9"/>
    <w:rsid w:val="009145AE"/>
    <w:rsid w:val="009146CE"/>
    <w:rsid w:val="00914CA7"/>
    <w:rsid w:val="00915C3E"/>
    <w:rsid w:val="009161A8"/>
    <w:rsid w:val="00922D7F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272"/>
    <w:rsid w:val="0095496B"/>
    <w:rsid w:val="009610DC"/>
    <w:rsid w:val="00961490"/>
    <w:rsid w:val="00962D2C"/>
    <w:rsid w:val="0096381A"/>
    <w:rsid w:val="00965E04"/>
    <w:rsid w:val="009674AD"/>
    <w:rsid w:val="00970CDC"/>
    <w:rsid w:val="00975195"/>
    <w:rsid w:val="00975471"/>
    <w:rsid w:val="00977010"/>
    <w:rsid w:val="00977D02"/>
    <w:rsid w:val="009809BB"/>
    <w:rsid w:val="0098364B"/>
    <w:rsid w:val="00986ABE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1532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94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26320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411F"/>
    <w:rsid w:val="00A5526C"/>
    <w:rsid w:val="00A55BD6"/>
    <w:rsid w:val="00A55D50"/>
    <w:rsid w:val="00A57142"/>
    <w:rsid w:val="00A648CD"/>
    <w:rsid w:val="00A6537A"/>
    <w:rsid w:val="00A67866"/>
    <w:rsid w:val="00A70B07"/>
    <w:rsid w:val="00A723F8"/>
    <w:rsid w:val="00A73F7C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3F14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1D9E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020B"/>
    <w:rsid w:val="00C013AD"/>
    <w:rsid w:val="00C04904"/>
    <w:rsid w:val="00C056B3"/>
    <w:rsid w:val="00C103E5"/>
    <w:rsid w:val="00C11C5C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2D6C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4E8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1A9C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D85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09F6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8E1"/>
    <w:rsid w:val="00DE2939"/>
    <w:rsid w:val="00DE6E81"/>
    <w:rsid w:val="00DE703F"/>
    <w:rsid w:val="00DE7595"/>
    <w:rsid w:val="00DF1961"/>
    <w:rsid w:val="00DF332B"/>
    <w:rsid w:val="00DF44DE"/>
    <w:rsid w:val="00DF5A7B"/>
    <w:rsid w:val="00DF5F11"/>
    <w:rsid w:val="00E01138"/>
    <w:rsid w:val="00E02DFB"/>
    <w:rsid w:val="00E030F9"/>
    <w:rsid w:val="00E0311A"/>
    <w:rsid w:val="00E03138"/>
    <w:rsid w:val="00E0602C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196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24BD"/>
    <w:rsid w:val="00EC5359"/>
    <w:rsid w:val="00EC562A"/>
    <w:rsid w:val="00EC5D49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37D00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42A5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2E70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33B5A9E"/>
    <w:rsid w:val="075E0DE6"/>
    <w:rsid w:val="0CB15F32"/>
    <w:rsid w:val="0D13049D"/>
    <w:rsid w:val="10FD0B69"/>
    <w:rsid w:val="14AB2622"/>
    <w:rsid w:val="15A478C7"/>
    <w:rsid w:val="15CD3580"/>
    <w:rsid w:val="16A77777"/>
    <w:rsid w:val="1705597F"/>
    <w:rsid w:val="1BE7632A"/>
    <w:rsid w:val="20CA40DE"/>
    <w:rsid w:val="258950E5"/>
    <w:rsid w:val="290832AA"/>
    <w:rsid w:val="29B524CB"/>
    <w:rsid w:val="2E415F9F"/>
    <w:rsid w:val="2F460075"/>
    <w:rsid w:val="2F5E6863"/>
    <w:rsid w:val="300F2479"/>
    <w:rsid w:val="31931D9D"/>
    <w:rsid w:val="348777FB"/>
    <w:rsid w:val="36994413"/>
    <w:rsid w:val="39D536BF"/>
    <w:rsid w:val="3D553039"/>
    <w:rsid w:val="40A12395"/>
    <w:rsid w:val="41037B43"/>
    <w:rsid w:val="452A7F61"/>
    <w:rsid w:val="47935A3B"/>
    <w:rsid w:val="48C9414A"/>
    <w:rsid w:val="4C3C041D"/>
    <w:rsid w:val="4C591F58"/>
    <w:rsid w:val="4C6E04B3"/>
    <w:rsid w:val="580B18B9"/>
    <w:rsid w:val="63DC49E0"/>
    <w:rsid w:val="672A5148"/>
    <w:rsid w:val="6C934342"/>
    <w:rsid w:val="70C17650"/>
    <w:rsid w:val="732F5000"/>
    <w:rsid w:val="73D740AF"/>
    <w:rsid w:val="78723D89"/>
    <w:rsid w:val="7BEB1CC6"/>
    <w:rsid w:val="7F57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0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1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5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annotation text"/>
    <w:basedOn w:val="1"/>
    <w:link w:val="233"/>
    <w:unhideWhenUsed/>
    <w:qFormat/>
    <w:uiPriority w:val="99"/>
    <w:pPr>
      <w:jc w:val="left"/>
    </w:pPr>
  </w:style>
  <w:style w:type="paragraph" w:styleId="14">
    <w:name w:val="Body Text"/>
    <w:basedOn w:val="1"/>
    <w:link w:val="89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7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link w:val="24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2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7">
    <w:name w:val="annotation subject"/>
    <w:basedOn w:val="13"/>
    <w:next w:val="13"/>
    <w:link w:val="234"/>
    <w:semiHidden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22"/>
    <w:rPr>
      <w:b/>
      <w:bCs/>
    </w:rPr>
  </w:style>
  <w:style w:type="character" w:styleId="32">
    <w:name w:val="page number"/>
    <w:qFormat/>
    <w:uiPriority w:val="0"/>
    <w:rPr>
      <w:rFonts w:ascii="宋体" w:hAnsi="Times New Roman" w:eastAsia="宋体"/>
      <w:sz w:val="18"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5">
    <w:name w:val="annotation reference"/>
    <w:basedOn w:val="30"/>
    <w:semiHidden/>
    <w:unhideWhenUsed/>
    <w:qFormat/>
    <w:uiPriority w:val="99"/>
    <w:rPr>
      <w:sz w:val="21"/>
      <w:szCs w:val="21"/>
    </w:rPr>
  </w:style>
  <w:style w:type="character" w:styleId="36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7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8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9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40">
    <w:name w:val="标题 4 字符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1">
    <w:name w:val="标题 5 字符"/>
    <w:link w:val="6"/>
    <w:qFormat/>
    <w:uiPriority w:val="0"/>
    <w:rPr>
      <w:b/>
      <w:bCs/>
      <w:kern w:val="2"/>
      <w:sz w:val="28"/>
      <w:szCs w:val="28"/>
    </w:rPr>
  </w:style>
  <w:style w:type="character" w:customStyle="1" w:styleId="42">
    <w:name w:val="标题 6 字符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3">
    <w:name w:val="标题 7 字符"/>
    <w:link w:val="8"/>
    <w:qFormat/>
    <w:uiPriority w:val="0"/>
    <w:rPr>
      <w:b/>
      <w:bCs/>
      <w:kern w:val="2"/>
      <w:sz w:val="24"/>
      <w:szCs w:val="24"/>
    </w:rPr>
  </w:style>
  <w:style w:type="character" w:customStyle="1" w:styleId="44">
    <w:name w:val="标题 8 字符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5">
    <w:name w:val="标题 9 字符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6">
    <w:name w:val="页眉 字符"/>
    <w:link w:val="19"/>
    <w:qFormat/>
    <w:uiPriority w:val="99"/>
    <w:rPr>
      <w:kern w:val="2"/>
      <w:sz w:val="18"/>
      <w:szCs w:val="18"/>
    </w:rPr>
  </w:style>
  <w:style w:type="character" w:customStyle="1" w:styleId="47">
    <w:name w:val="页脚 字符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8">
    <w:name w:val="批注框文本 字符"/>
    <w:link w:val="17"/>
    <w:semiHidden/>
    <w:qFormat/>
    <w:uiPriority w:val="99"/>
    <w:rPr>
      <w:kern w:val="2"/>
      <w:sz w:val="18"/>
      <w:szCs w:val="18"/>
    </w:rPr>
  </w:style>
  <w:style w:type="paragraph" w:styleId="49">
    <w:name w:val="Quote"/>
    <w:basedOn w:val="1"/>
    <w:next w:val="1"/>
    <w:link w:val="50"/>
    <w:qFormat/>
    <w:uiPriority w:val="29"/>
    <w:rPr>
      <w:i/>
      <w:iCs/>
      <w:color w:val="000000"/>
    </w:rPr>
  </w:style>
  <w:style w:type="character" w:customStyle="1" w:styleId="50">
    <w:name w:val="引用 字符"/>
    <w:link w:val="49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1">
    <w:name w:val="标题 字符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2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3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4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6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7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8">
    <w:name w:val="标准文件_标准正文"/>
    <w:basedOn w:val="1"/>
    <w:next w:val="59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9">
    <w:name w:val="标准文件_段"/>
    <w:link w:val="187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0">
    <w:name w:val="标准文件_版本"/>
    <w:basedOn w:val="58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1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2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3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4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5">
    <w:name w:val="标准文件_页眉偶数页"/>
    <w:basedOn w:val="64"/>
    <w:next w:val="1"/>
    <w:qFormat/>
    <w:uiPriority w:val="0"/>
    <w:pPr>
      <w:jc w:val="left"/>
    </w:pPr>
  </w:style>
  <w:style w:type="paragraph" w:customStyle="1" w:styleId="66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7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8">
    <w:name w:val="标准文件_二级条标题"/>
    <w:next w:val="59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9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70">
    <w:name w:val="标准文件_方框数字列项"/>
    <w:basedOn w:val="59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1">
    <w:name w:val="标准文件_封面标准编号"/>
    <w:basedOn w:val="1"/>
    <w:next w:val="62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2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3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4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5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6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7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8">
    <w:name w:val="标准文件_封面抬头"/>
    <w:basedOn w:val="59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9">
    <w:name w:val="标准文件_附录标识"/>
    <w:next w:val="59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0">
    <w:name w:val="标准文件_附录表标题"/>
    <w:next w:val="59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一级条标题"/>
    <w:next w:val="59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2">
    <w:name w:val="标准文件_附录二级条标题"/>
    <w:basedOn w:val="81"/>
    <w:next w:val="59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3">
    <w:name w:val="标准文件_附录公式"/>
    <w:basedOn w:val="58"/>
    <w:next w:val="58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4">
    <w:name w:val="标准文件_附录三级条标题"/>
    <w:next w:val="59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四级条标题"/>
    <w:next w:val="59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6">
    <w:name w:val="标准文件_附录图标题"/>
    <w:next w:val="59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7">
    <w:name w:val="标准文件_附录五级条标题"/>
    <w:next w:val="59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8">
    <w:name w:val="标准文件_附录英文标识"/>
    <w:next w:val="14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9">
    <w:name w:val="正文文本 字符"/>
    <w:link w:val="14"/>
    <w:qFormat/>
    <w:uiPriority w:val="0"/>
    <w:rPr>
      <w:kern w:val="2"/>
      <w:sz w:val="21"/>
      <w:szCs w:val="21"/>
    </w:rPr>
  </w:style>
  <w:style w:type="paragraph" w:customStyle="1" w:styleId="90">
    <w:name w:val="标准文件_附录章标题"/>
    <w:next w:val="59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1">
    <w:name w:val="标准文件_公式后的破折号"/>
    <w:basedOn w:val="59"/>
    <w:next w:val="59"/>
    <w:qFormat/>
    <w:uiPriority w:val="0"/>
    <w:pPr>
      <w:ind w:left="488" w:leftChars="200" w:hanging="289" w:hangingChars="290"/>
    </w:pPr>
  </w:style>
  <w:style w:type="paragraph" w:customStyle="1" w:styleId="92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3">
    <w:name w:val="标准文件_目次、标准名称标题"/>
    <w:basedOn w:val="92"/>
    <w:next w:val="59"/>
    <w:qFormat/>
    <w:uiPriority w:val="0"/>
    <w:pPr>
      <w:spacing w:line="460" w:lineRule="exact"/>
      <w:ind w:left="0" w:firstLine="0"/>
    </w:pPr>
  </w:style>
  <w:style w:type="paragraph" w:customStyle="1" w:styleId="94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5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6">
    <w:name w:val="标准文件_破折号列项（二级）"/>
    <w:basedOn w:val="95"/>
    <w:qFormat/>
    <w:uiPriority w:val="0"/>
    <w:pPr>
      <w:numPr>
        <w:numId w:val="10"/>
      </w:numPr>
    </w:pPr>
  </w:style>
  <w:style w:type="paragraph" w:customStyle="1" w:styleId="97">
    <w:name w:val="标准文件_三级条标题"/>
    <w:basedOn w:val="68"/>
    <w:next w:val="59"/>
    <w:qFormat/>
    <w:uiPriority w:val="0"/>
    <w:pPr>
      <w:widowControl/>
      <w:numPr>
        <w:ilvl w:val="4"/>
      </w:numPr>
      <w:outlineLvl w:val="3"/>
    </w:pPr>
  </w:style>
  <w:style w:type="character" w:customStyle="1" w:styleId="98">
    <w:name w:val="不明显参考1"/>
    <w:qFormat/>
    <w:uiPriority w:val="31"/>
    <w:rPr>
      <w:smallCaps/>
      <w:color w:val="C0504D"/>
      <w:u w:val="single"/>
    </w:rPr>
  </w:style>
  <w:style w:type="paragraph" w:customStyle="1" w:styleId="99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100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1">
    <w:name w:val="标准文件_四级条标题"/>
    <w:next w:val="59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2">
    <w:name w:val="脚注文本 字符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3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4">
    <w:name w:val="标准文件_图表脚注"/>
    <w:basedOn w:val="1"/>
    <w:next w:val="59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5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6">
    <w:name w:val="标准文件_五级条标题"/>
    <w:next w:val="59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章标题"/>
    <w:next w:val="59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8">
    <w:name w:val="标准文件_一级条标题"/>
    <w:basedOn w:val="107"/>
    <w:next w:val="59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9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10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1">
    <w:name w:val="标准文件_英文图表脚注"/>
    <w:basedOn w:val="58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2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3">
    <w:name w:val="标准文件_英文注："/>
    <w:basedOn w:val="1"/>
    <w:next w:val="59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4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5">
    <w:name w:val="标准文件_正文表标题"/>
    <w:next w:val="59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公式"/>
    <w:basedOn w:val="1"/>
    <w:next w:val="58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7">
    <w:name w:val="标准文件_正文图标题"/>
    <w:next w:val="59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表标题"/>
    <w:next w:val="59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正文英文图标题"/>
    <w:next w:val="59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0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1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2">
    <w:name w:val="发布部门"/>
    <w:next w:val="59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3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4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5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6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8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0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1">
    <w:name w:val="附录二级无标题条"/>
    <w:basedOn w:val="1"/>
    <w:next w:val="59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2">
    <w:name w:val="附录三级无标题条"/>
    <w:basedOn w:val="131"/>
    <w:next w:val="59"/>
    <w:qFormat/>
    <w:uiPriority w:val="0"/>
    <w:pPr>
      <w:outlineLvl w:val="4"/>
    </w:pPr>
  </w:style>
  <w:style w:type="paragraph" w:customStyle="1" w:styleId="133">
    <w:name w:val="附录四级无标题条"/>
    <w:basedOn w:val="132"/>
    <w:next w:val="59"/>
    <w:qFormat/>
    <w:uiPriority w:val="0"/>
    <w:pPr>
      <w:outlineLvl w:val="5"/>
    </w:pPr>
  </w:style>
  <w:style w:type="paragraph" w:customStyle="1" w:styleId="134">
    <w:name w:val="附录图"/>
    <w:next w:val="59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5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6">
    <w:name w:val="附录五级无标题条"/>
    <w:basedOn w:val="133"/>
    <w:next w:val="59"/>
    <w:qFormat/>
    <w:uiPriority w:val="0"/>
    <w:pPr>
      <w:outlineLvl w:val="6"/>
    </w:pPr>
  </w:style>
  <w:style w:type="paragraph" w:customStyle="1" w:styleId="137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8">
    <w:name w:val="附录一级无标题条"/>
    <w:basedOn w:val="90"/>
    <w:next w:val="59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9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40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1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2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3">
    <w:name w:val="列项·"/>
    <w:basedOn w:val="59"/>
    <w:qFormat/>
    <w:uiPriority w:val="0"/>
    <w:pPr>
      <w:tabs>
        <w:tab w:val="left" w:pos="840"/>
      </w:tabs>
    </w:pPr>
  </w:style>
  <w:style w:type="paragraph" w:customStyle="1" w:styleId="14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5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6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7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8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9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50">
    <w:name w:val="目录 71"/>
    <w:basedOn w:val="149"/>
    <w:semiHidden/>
    <w:qFormat/>
    <w:uiPriority w:val="0"/>
    <w:pPr>
      <w:ind w:left="1260"/>
    </w:pPr>
  </w:style>
  <w:style w:type="paragraph" w:customStyle="1" w:styleId="151">
    <w:name w:val="目录 81"/>
    <w:basedOn w:val="150"/>
    <w:semiHidden/>
    <w:qFormat/>
    <w:uiPriority w:val="0"/>
    <w:pPr>
      <w:ind w:left="1470"/>
    </w:pPr>
  </w:style>
  <w:style w:type="paragraph" w:customStyle="1" w:styleId="152">
    <w:name w:val="目录 91"/>
    <w:basedOn w:val="151"/>
    <w:semiHidden/>
    <w:qFormat/>
    <w:uiPriority w:val="0"/>
    <w:pPr>
      <w:ind w:left="1680"/>
    </w:pPr>
  </w:style>
  <w:style w:type="paragraph" w:customStyle="1" w:styleId="153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4">
    <w:name w:val="其他发布部门"/>
    <w:basedOn w:val="122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55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6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7">
    <w:name w:val="实施日期"/>
    <w:basedOn w:val="123"/>
    <w:qFormat/>
    <w:uiPriority w:val="0"/>
    <w:pPr>
      <w:framePr w:hSpace="0" w:xAlign="right"/>
      <w:jc w:val="right"/>
    </w:pPr>
  </w:style>
  <w:style w:type="paragraph" w:customStyle="1" w:styleId="158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60">
    <w:name w:val="无标题条"/>
    <w:next w:val="59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1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2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3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4">
    <w:name w:val="注×:后续"/>
    <w:basedOn w:val="163"/>
    <w:qFormat/>
    <w:uiPriority w:val="0"/>
    <w:pPr>
      <w:ind w:left="1406" w:leftChars="0" w:hanging="499" w:firstLineChars="0"/>
    </w:pPr>
  </w:style>
  <w:style w:type="paragraph" w:customStyle="1" w:styleId="165">
    <w:name w:val="标准文件_一级无标题"/>
    <w:basedOn w:val="10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五级无标题"/>
    <w:basedOn w:val="10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文件_三级无标题"/>
    <w:basedOn w:val="9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8">
    <w:name w:val="标准文件_二级无标题"/>
    <w:basedOn w:val="6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9">
    <w:name w:val="标准_四级无标题"/>
    <w:basedOn w:val="101"/>
    <w:next w:val="59"/>
    <w:qFormat/>
    <w:uiPriority w:val="0"/>
    <w:rPr>
      <w:rFonts w:eastAsia="宋体"/>
    </w:rPr>
  </w:style>
  <w:style w:type="paragraph" w:customStyle="1" w:styleId="170">
    <w:name w:val="标准文件_四级无标题"/>
    <w:basedOn w:val="101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71">
    <w:name w:val="标准文件_大写罗马数字编号列项"/>
    <w:basedOn w:val="59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2">
    <w:name w:val="标准文件_小写罗马数字编号列项"/>
    <w:basedOn w:val="59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3">
    <w:name w:val="标准文件_附录标题"/>
    <w:basedOn w:val="79"/>
    <w:qFormat/>
    <w:uiPriority w:val="0"/>
    <w:pPr>
      <w:numPr>
        <w:numId w:val="0"/>
      </w:numPr>
      <w:spacing w:after="280"/>
      <w:outlineLvl w:val="9"/>
    </w:pPr>
  </w:style>
  <w:style w:type="paragraph" w:customStyle="1" w:styleId="174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5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6">
    <w:name w:val="图表脚注说明"/>
    <w:basedOn w:val="1"/>
    <w:next w:val="59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7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8">
    <w:name w:val="标准文件_索引字母"/>
    <w:next w:val="59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9">
    <w:name w:val="标准文件_附录前"/>
    <w:next w:val="59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80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1">
    <w:name w:val="标准文件_表格"/>
    <w:basedOn w:val="59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2">
    <w:name w:val="标准文件_注："/>
    <w:next w:val="59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："/>
    <w:next w:val="185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5">
    <w:name w:val="标准文件_示例内容"/>
    <w:basedOn w:val="59"/>
    <w:qFormat/>
    <w:uiPriority w:val="0"/>
    <w:pPr>
      <w:ind w:firstLine="420"/>
    </w:pPr>
    <w:rPr>
      <w:sz w:val="18"/>
    </w:rPr>
  </w:style>
  <w:style w:type="paragraph" w:customStyle="1" w:styleId="186">
    <w:name w:val="标准文件_示例×："/>
    <w:basedOn w:val="1"/>
    <w:next w:val="185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7">
    <w:name w:val="标准文件_段 Char"/>
    <w:link w:val="59"/>
    <w:qFormat/>
    <w:uiPriority w:val="0"/>
    <w:rPr>
      <w:rFonts w:ascii="宋体" w:hAnsi="Times New Roman"/>
      <w:sz w:val="21"/>
    </w:rPr>
  </w:style>
  <w:style w:type="paragraph" w:customStyle="1" w:styleId="188">
    <w:name w:val="标准文件_表格续"/>
    <w:basedOn w:val="59"/>
    <w:next w:val="59"/>
    <w:qFormat/>
    <w:uiPriority w:val="0"/>
    <w:pPr>
      <w:jc w:val="center"/>
    </w:pPr>
    <w:rPr>
      <w:rFonts w:ascii="黑体" w:hAnsi="黑体" w:eastAsia="黑体"/>
    </w:rPr>
  </w:style>
  <w:style w:type="character" w:styleId="189">
    <w:name w:val="Placeholder Text"/>
    <w:basedOn w:val="30"/>
    <w:semiHidden/>
    <w:qFormat/>
    <w:uiPriority w:val="99"/>
    <w:rPr>
      <w:color w:val="808080"/>
    </w:rPr>
  </w:style>
  <w:style w:type="paragraph" w:customStyle="1" w:styleId="190">
    <w:name w:val="标准文件_二级项2"/>
    <w:basedOn w:val="59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1">
    <w:name w:val="标准文件_三级项2"/>
    <w:basedOn w:val="59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一级项2"/>
    <w:basedOn w:val="59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3">
    <w:name w:val="标准文件_提示"/>
    <w:basedOn w:val="59"/>
    <w:next w:val="59"/>
    <w:qFormat/>
    <w:uiPriority w:val="0"/>
    <w:pPr>
      <w:ind w:firstLine="420"/>
    </w:pPr>
    <w:rPr>
      <w:rFonts w:ascii="黑体" w:eastAsia="黑体"/>
    </w:rPr>
  </w:style>
  <w:style w:type="character" w:customStyle="1" w:styleId="194">
    <w:name w:val="标准文件_来源"/>
    <w:basedOn w:val="30"/>
    <w:qFormat/>
    <w:uiPriority w:val="1"/>
    <w:rPr>
      <w:rFonts w:eastAsia="宋体"/>
      <w:sz w:val="21"/>
    </w:rPr>
  </w:style>
  <w:style w:type="paragraph" w:customStyle="1" w:styleId="195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6">
    <w:name w:val="其他发布日期"/>
    <w:basedOn w:val="123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97">
    <w:name w:val="其他实施日期"/>
    <w:basedOn w:val="157"/>
    <w:qFormat/>
    <w:uiPriority w:val="0"/>
    <w:pPr>
      <w:framePr w:w="3997" w:h="471" w:hRule="exact" w:vSpace="181" w:vAnchor="page" w:hAnchor="page" w:x="7089" w:y="14097"/>
    </w:pPr>
  </w:style>
  <w:style w:type="paragraph" w:customStyle="1" w:styleId="198">
    <w:name w:val="标准文件_文件编号"/>
    <w:basedOn w:val="59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9">
    <w:name w:val="标准文件_替换文件编号"/>
    <w:basedOn w:val="198"/>
    <w:qFormat/>
    <w:uiPriority w:val="0"/>
    <w:pPr>
      <w:spacing w:before="57"/>
    </w:pPr>
    <w:rPr>
      <w:sz w:val="21"/>
    </w:rPr>
  </w:style>
  <w:style w:type="paragraph" w:customStyle="1" w:styleId="200">
    <w:name w:val="标准文件_文件名称"/>
    <w:basedOn w:val="59"/>
    <w:next w:val="59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1">
    <w:name w:val="标准文件_附录图标号"/>
    <w:basedOn w:val="59"/>
    <w:next w:val="59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2">
    <w:name w:val="标准文件_附录表标号"/>
    <w:basedOn w:val="59"/>
    <w:next w:val="59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3">
    <w:name w:val="标准文件_引言一级条标题"/>
    <w:basedOn w:val="59"/>
    <w:next w:val="59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二级条标题"/>
    <w:basedOn w:val="59"/>
    <w:next w:val="59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三级条标题"/>
    <w:basedOn w:val="59"/>
    <w:next w:val="59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引言四级条标题"/>
    <w:basedOn w:val="59"/>
    <w:next w:val="59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7">
    <w:name w:val="标准文件_引言五级条标题"/>
    <w:basedOn w:val="59"/>
    <w:next w:val="59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8">
    <w:name w:val="标准文件_注后"/>
    <w:basedOn w:val="59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注X后"/>
    <w:basedOn w:val="59"/>
    <w:qFormat/>
    <w:uiPriority w:val="0"/>
    <w:pPr>
      <w:ind w:left="811" w:firstLine="0" w:firstLineChars="0"/>
    </w:pPr>
    <w:rPr>
      <w:sz w:val="18"/>
    </w:rPr>
  </w:style>
  <w:style w:type="paragraph" w:customStyle="1" w:styleId="210">
    <w:name w:val="标准文件_示例后"/>
    <w:basedOn w:val="59"/>
    <w:qFormat/>
    <w:uiPriority w:val="0"/>
    <w:pPr>
      <w:ind w:left="964" w:firstLine="0" w:firstLineChars="0"/>
    </w:pPr>
    <w:rPr>
      <w:sz w:val="18"/>
    </w:rPr>
  </w:style>
  <w:style w:type="paragraph" w:customStyle="1" w:styleId="211">
    <w:name w:val="标准文件_示例X后"/>
    <w:basedOn w:val="59"/>
    <w:link w:val="212"/>
    <w:qFormat/>
    <w:uiPriority w:val="0"/>
    <w:pPr>
      <w:ind w:left="1049" w:firstLine="0" w:firstLineChars="0"/>
    </w:pPr>
    <w:rPr>
      <w:sz w:val="18"/>
    </w:rPr>
  </w:style>
  <w:style w:type="character" w:customStyle="1" w:styleId="212">
    <w:name w:val="标准文件_示例X后 字符"/>
    <w:basedOn w:val="187"/>
    <w:link w:val="211"/>
    <w:qFormat/>
    <w:uiPriority w:val="0"/>
    <w:rPr>
      <w:rFonts w:ascii="宋体" w:hAnsi="Times New Roman"/>
      <w:sz w:val="18"/>
    </w:rPr>
  </w:style>
  <w:style w:type="paragraph" w:customStyle="1" w:styleId="213">
    <w:name w:val="标准文件_索引项"/>
    <w:basedOn w:val="59"/>
    <w:next w:val="59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4">
    <w:name w:val="标准文件_附录一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二级无标题"/>
    <w:basedOn w:val="82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三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四级无标题"/>
    <w:basedOn w:val="85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附录五级无标题"/>
    <w:basedOn w:val="87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9">
    <w:name w:val="标准文件_引言一级无标题"/>
    <w:basedOn w:val="203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二级无标题"/>
    <w:basedOn w:val="204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三级无标题"/>
    <w:basedOn w:val="205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引言四级无标题"/>
    <w:basedOn w:val="206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3">
    <w:name w:val="标准文件_引言五级无标题"/>
    <w:basedOn w:val="207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4">
    <w:name w:val="标准文件_索引标题"/>
    <w:basedOn w:val="66"/>
    <w:next w:val="59"/>
    <w:qFormat/>
    <w:uiPriority w:val="0"/>
    <w:rPr>
      <w:rFonts w:hAnsi="黑体"/>
    </w:rPr>
  </w:style>
  <w:style w:type="paragraph" w:customStyle="1" w:styleId="225">
    <w:name w:val="标准文件_脚注内容"/>
    <w:basedOn w:val="59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6">
    <w:name w:val="标准文件_术语条一"/>
    <w:basedOn w:val="165"/>
    <w:next w:val="59"/>
    <w:qFormat/>
    <w:uiPriority w:val="0"/>
  </w:style>
  <w:style w:type="paragraph" w:customStyle="1" w:styleId="227">
    <w:name w:val="标准文件_术语条二"/>
    <w:basedOn w:val="168"/>
    <w:next w:val="59"/>
    <w:qFormat/>
    <w:uiPriority w:val="0"/>
  </w:style>
  <w:style w:type="paragraph" w:customStyle="1" w:styleId="228">
    <w:name w:val="标准文件_术语条三"/>
    <w:basedOn w:val="167"/>
    <w:next w:val="59"/>
    <w:qFormat/>
    <w:uiPriority w:val="0"/>
  </w:style>
  <w:style w:type="paragraph" w:customStyle="1" w:styleId="229">
    <w:name w:val="标准文件_术语条四"/>
    <w:basedOn w:val="170"/>
    <w:next w:val="59"/>
    <w:qFormat/>
    <w:uiPriority w:val="0"/>
  </w:style>
  <w:style w:type="paragraph" w:customStyle="1" w:styleId="230">
    <w:name w:val="标准文件_术语条五"/>
    <w:basedOn w:val="166"/>
    <w:next w:val="59"/>
    <w:qFormat/>
    <w:uiPriority w:val="0"/>
  </w:style>
  <w:style w:type="paragraph" w:customStyle="1" w:styleId="2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2">
    <w:name w:val="发布"/>
    <w:basedOn w:val="30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3">
    <w:name w:val="批注文字 字符"/>
    <w:basedOn w:val="30"/>
    <w:link w:val="13"/>
    <w:qFormat/>
    <w:uiPriority w:val="99"/>
    <w:rPr>
      <w:kern w:val="2"/>
      <w:sz w:val="21"/>
      <w:szCs w:val="21"/>
    </w:rPr>
  </w:style>
  <w:style w:type="character" w:customStyle="1" w:styleId="234">
    <w:name w:val="批注主题 字符"/>
    <w:basedOn w:val="233"/>
    <w:link w:val="27"/>
    <w:semiHidden/>
    <w:qFormat/>
    <w:uiPriority w:val="99"/>
    <w:rPr>
      <w:b/>
      <w:bCs/>
      <w:kern w:val="2"/>
      <w:sz w:val="21"/>
      <w:szCs w:val="21"/>
    </w:rPr>
  </w:style>
  <w:style w:type="paragraph" w:customStyle="1" w:styleId="235">
    <w:name w:val="Plain Text1"/>
    <w:basedOn w:val="1"/>
    <w:qFormat/>
    <w:uiPriority w:val="0"/>
    <w:rPr>
      <w:rFonts w:ascii="宋体" w:hAnsi="Courier New" w:cs="宋体"/>
    </w:rPr>
  </w:style>
  <w:style w:type="paragraph" w:customStyle="1" w:styleId="236">
    <w:name w:val="章标题"/>
    <w:next w:val="237"/>
    <w:qFormat/>
    <w:uiPriority w:val="0"/>
    <w:pPr>
      <w:numPr>
        <w:ilvl w:val="1"/>
        <w:numId w:val="2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38">
    <w:name w:val="一级条标题"/>
    <w:next w:val="237"/>
    <w:qFormat/>
    <w:uiPriority w:val="0"/>
    <w:pPr>
      <w:numPr>
        <w:ilvl w:val="2"/>
        <w:numId w:val="2"/>
      </w:numPr>
      <w:spacing w:before="0" w:beforeLines="0" w:after="0" w:afterLines="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9">
    <w:name w:val="二级条标题"/>
    <w:next w:val="237"/>
    <w:qFormat/>
    <w:uiPriority w:val="0"/>
    <w:pPr>
      <w:numPr>
        <w:ilvl w:val="3"/>
        <w:numId w:val="2"/>
      </w:numPr>
      <w:spacing w:before="0" w:beforeLines="0" w:after="0" w:afterLines="0"/>
      <w:jc w:val="both"/>
      <w:outlineLvl w:val="3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40">
    <w:name w:val="三级条标题"/>
    <w:next w:val="237"/>
    <w:qFormat/>
    <w:uiPriority w:val="0"/>
    <w:pPr>
      <w:numPr>
        <w:ilvl w:val="4"/>
        <w:numId w:val="2"/>
      </w:numPr>
      <w:spacing w:before="0" w:beforeLines="0" w:after="0" w:afterLines="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241">
    <w:name w:val="目录 4 Char"/>
    <w:link w:val="21"/>
    <w:qFormat/>
    <w:uiPriority w:val="39"/>
    <w:rPr>
      <w:rFonts w:ascii="宋体"/>
    </w:rPr>
  </w:style>
  <w:style w:type="character" w:customStyle="1" w:styleId="242">
    <w:name w:val="font11"/>
    <w:basedOn w:val="3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3">
    <w:name w:val="font01"/>
    <w:basedOn w:val="3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glossaryDocument" Target="glossary/document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.jpeg"/><Relationship Id="rId22" Type="http://schemas.openxmlformats.org/officeDocument/2006/relationships/image" Target="media/image1.tiff"/><Relationship Id="rId21" Type="http://schemas.openxmlformats.org/officeDocument/2006/relationships/theme" Target="theme/theme1.xml"/><Relationship Id="rId20" Type="http://schemas.openxmlformats.org/officeDocument/2006/relationships/footer" Target="footer8.xml"/><Relationship Id="rId2" Type="http://schemas.openxmlformats.org/officeDocument/2006/relationships/settings" Target="settings.xml"/><Relationship Id="rId19" Type="http://schemas.openxmlformats.org/officeDocument/2006/relationships/footer" Target="footer7.xml"/><Relationship Id="rId18" Type="http://schemas.openxmlformats.org/officeDocument/2006/relationships/header" Target="header8.xml"/><Relationship Id="rId17" Type="http://schemas.openxmlformats.org/officeDocument/2006/relationships/header" Target="header7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45C1027570749DAB7A88F8D292F654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3859D4C-B458-43E2-9BED-3AED253F2E1D}"/>
      </w:docPartPr>
      <w:docPartBody>
        <w:p w14:paraId="6DBF87E8"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D3"/>
    <w:rsid w:val="000B223D"/>
    <w:rsid w:val="001212F6"/>
    <w:rsid w:val="00140531"/>
    <w:rsid w:val="0032411F"/>
    <w:rsid w:val="00536BA9"/>
    <w:rsid w:val="006B1627"/>
    <w:rsid w:val="00737120"/>
    <w:rsid w:val="00786B82"/>
    <w:rsid w:val="007D5FE8"/>
    <w:rsid w:val="008A6A0C"/>
    <w:rsid w:val="009211FE"/>
    <w:rsid w:val="00932483"/>
    <w:rsid w:val="00BC26D3"/>
    <w:rsid w:val="00D53428"/>
    <w:rsid w:val="00E35C3A"/>
    <w:rsid w:val="00E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345C1027570749DAB7A88F8D292F654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FA4275B8EAF84E58A51892C4A4CB5C7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6487CBC52CDA411899EE844721D8354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86A94C-9A0B-4E8C-99A1-844347572E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9</Pages>
  <Words>2630</Words>
  <Characters>2921</Characters>
  <Lines>1</Lines>
  <Paragraphs>1</Paragraphs>
  <TotalTime>8</TotalTime>
  <ScaleCrop>false</ScaleCrop>
  <LinksUpToDate>false</LinksUpToDate>
  <CharactersWithSpaces>3077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2023-09-20T01:40:00Z</dcterms:created>
  <dc:creator>微软用户</dc:creator>
  <dc:description>&lt;config cover="true" show_menu="true" version="1.0.0" doctype="SDKXY"&gt;_x000d_
&lt;/config&gt;</dc:description>
  <cp:lastModifiedBy>捷凯</cp:lastModifiedBy>
  <cp:lastPrinted>2023-11-14T14:48:00Z</cp:lastPrinted>
  <dcterms:modified xsi:type="dcterms:W3CDTF">2025-05-07T08:57:16Z</dcterms:modified>
  <dc:title>地方标准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DoublePage">
    <vt:lpwstr>true</vt:lpwstr>
  </property>
  <property fmtid="{D5CDD505-2E9C-101B-9397-08002B2CF9AE}" pid="15" name="KSOProductBuildVer">
    <vt:lpwstr>2052-12.1.0.20784</vt:lpwstr>
  </property>
  <property fmtid="{D5CDD505-2E9C-101B-9397-08002B2CF9AE}" pid="16" name="ICV">
    <vt:lpwstr>79D23314DC0E4EA888C283248BC65481_12</vt:lpwstr>
  </property>
  <property fmtid="{D5CDD505-2E9C-101B-9397-08002B2CF9AE}" pid="17" name="KSOTemplateDocerSaveRecord">
    <vt:lpwstr>eyJoZGlkIjoiMzZjMDY2ZjY0MjNjODYzZGM4Y2I2MDg4MjI4MDQxOWUiLCJ1c2VySWQiOiIxNTA5NzY5MDYxIn0=</vt:lpwstr>
  </property>
</Properties>
</file>