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textAlignment w:val="auto"/>
        <w:rPr>
          <w:rFonts w:hint="eastAsia" w:ascii="黑体" w:hAnsi="黑体" w:eastAsia="黑体" w:cs="黑体"/>
          <w:snapToGrid w:val="0"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sz w:val="28"/>
          <w:szCs w:val="2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失业保险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稳岗返还企业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线上申领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指引</w:t>
      </w:r>
    </w:p>
    <w:p>
      <w:pPr>
        <w:pStyle w:val="9"/>
        <w:numPr>
          <w:ilvl w:val="0"/>
          <w:numId w:val="0"/>
        </w:numPr>
        <w:spacing w:line="360" w:lineRule="auto"/>
        <w:ind w:leftChars="0" w:firstLine="640" w:firstLineChars="200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</w:p>
    <w:p>
      <w:pPr>
        <w:pStyle w:val="9"/>
        <w:numPr>
          <w:ilvl w:val="0"/>
          <w:numId w:val="0"/>
        </w:numPr>
        <w:spacing w:line="360" w:lineRule="auto"/>
        <w:ind w:leftChars="0" w:firstLine="640" w:firstLineChars="200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登录系统</w:t>
      </w:r>
    </w:p>
    <w:p>
      <w:pPr>
        <w:pStyle w:val="9"/>
        <w:spacing w:line="360" w:lineRule="auto"/>
        <w:ind w:firstLine="56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已注册“广东省人力资源和社会保障厅网上服务平台”账号的企业可以直接登录企业稳岗返还申报系统（如下图），系统登录地址：https://ggfw.gdhrss.gov.cn/WGSQ#/</w:t>
      </w:r>
    </w:p>
    <w:p>
      <w:pPr>
        <w:pStyle w:val="9"/>
        <w:spacing w:line="360" w:lineRule="auto"/>
        <w:jc w:val="center"/>
      </w:pPr>
      <w:r>
        <w:drawing>
          <wp:inline distT="0" distB="0" distL="114300" distR="114300">
            <wp:extent cx="5264785" cy="3042920"/>
            <wp:effectExtent l="0" t="0" r="12065" b="5080"/>
            <wp:docPr id="19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04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9"/>
        <w:spacing w:line="360" w:lineRule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注意事项：</w:t>
      </w:r>
    </w:p>
    <w:p>
      <w:pPr>
        <w:pStyle w:val="9"/>
        <w:numPr>
          <w:ilvl w:val="0"/>
          <w:numId w:val="0"/>
        </w:numPr>
        <w:spacing w:line="360" w:lineRule="auto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（一）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若企业尚未注册“广东省人力资源和社会保障厅网上服务平台”账号，则需先完成企业账号注册，详细的注册指引见：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instrText xml:space="preserve"> HYPERLINK "http://ggfw.gdhrss.gov.cn/ssologin/html/unit.html" </w:instrTex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http://ggfw.gdhrss.gov.cn/ssologin/html/unit.html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。</w:t>
      </w:r>
    </w:p>
    <w:p>
      <w:pPr>
        <w:pStyle w:val="9"/>
        <w:numPr>
          <w:ilvl w:val="0"/>
          <w:numId w:val="0"/>
        </w:numPr>
        <w:spacing w:line="360" w:lineRule="auto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（二）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企业注册时“证件类型”必须选择“统一社会信用代码”，并正确填写企业统一社会信用代码，否则会影响后续稳岗返还业务办理。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（三）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若已注册的企业账号，但注册时选择的证件类型非“统一社会信用代码”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（如使用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“组织机构代码”注册），企业要用“统一社会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信用代码”重新注册一个账号。</w:t>
      </w:r>
    </w:p>
    <w:p>
      <w:pPr>
        <w:pStyle w:val="9"/>
        <w:numPr>
          <w:ilvl w:val="0"/>
          <w:numId w:val="0"/>
        </w:numPr>
        <w:spacing w:line="360" w:lineRule="auto"/>
        <w:ind w:leftChars="0" w:firstLine="640" w:firstLineChars="200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企业稳岗返还填报</w:t>
      </w:r>
    </w:p>
    <w:p>
      <w:pPr>
        <w:numPr>
          <w:ilvl w:val="0"/>
          <w:numId w:val="0"/>
        </w:numPr>
        <w:spacing w:line="360" w:lineRule="auto"/>
        <w:ind w:leftChars="0" w:firstLine="643" w:firstLineChars="200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（一）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选择事项并阅读承诺说明</w:t>
      </w:r>
    </w:p>
    <w:p>
      <w:pPr>
        <w:spacing w:line="360" w:lineRule="auto"/>
        <w:jc w:val="center"/>
        <w:rPr>
          <w:color w:val="FF0000"/>
        </w:rPr>
      </w:pPr>
      <w:r>
        <w:drawing>
          <wp:inline distT="0" distB="0" distL="114300" distR="114300">
            <wp:extent cx="5271135" cy="2648585"/>
            <wp:effectExtent l="0" t="0" r="5715" b="18415"/>
            <wp:docPr id="1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64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</w:pPr>
      <w:r>
        <w:drawing>
          <wp:inline distT="0" distB="0" distL="114300" distR="114300">
            <wp:extent cx="5272405" cy="2672715"/>
            <wp:effectExtent l="0" t="0" r="4445" b="13335"/>
            <wp:docPr id="10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672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  <w:ind w:leftChars="0"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注意事项：</w:t>
      </w:r>
    </w:p>
    <w:p>
      <w:pPr>
        <w:numPr>
          <w:ilvl w:val="0"/>
          <w:numId w:val="0"/>
        </w:numPr>
        <w:spacing w:line="360" w:lineRule="auto"/>
        <w:ind w:leftChars="0"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企业申报采用承诺制，企业必须同意声明内容后方可正常申报。</w:t>
      </w:r>
    </w:p>
    <w:p>
      <w:pPr>
        <w:numPr>
          <w:ilvl w:val="0"/>
          <w:numId w:val="0"/>
        </w:numPr>
        <w:spacing w:line="360" w:lineRule="auto"/>
        <w:ind w:leftChars="0"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（二）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填写企业基本信息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填报时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请注意按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界面红色字体的填报指引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）</w:t>
      </w:r>
    </w:p>
    <w:p>
      <w:pPr>
        <w:widowControl/>
        <w:jc w:val="center"/>
      </w:pPr>
      <w:r>
        <w:drawing>
          <wp:inline distT="0" distB="0" distL="114300" distR="114300">
            <wp:extent cx="5265420" cy="3153410"/>
            <wp:effectExtent l="0" t="0" r="11430" b="8890"/>
            <wp:docPr id="14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3153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  <w:ind w:leftChars="0" w:firstLine="643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（三）填写企业银行信息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开户银行必须与单位名称一致，不可修改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>
      <w:pPr>
        <w:spacing w:line="360" w:lineRule="auto"/>
        <w:jc w:val="center"/>
      </w:pPr>
      <w:r>
        <w:drawing>
          <wp:inline distT="0" distB="0" distL="114300" distR="114300">
            <wp:extent cx="5273040" cy="2256155"/>
            <wp:effectExtent l="0" t="0" r="3810" b="10795"/>
            <wp:docPr id="13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256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  <w:ind w:leftChars="0" w:firstLine="643" w:firstLineChars="200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四）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获取工商社保信息并提交</w:t>
      </w:r>
    </w:p>
    <w:p>
      <w:pPr>
        <w:jc w:val="center"/>
      </w:pPr>
      <w:r>
        <w:drawing>
          <wp:inline distT="0" distB="0" distL="114300" distR="114300">
            <wp:extent cx="5273675" cy="2922270"/>
            <wp:effectExtent l="0" t="0" r="3175" b="11430"/>
            <wp:docPr id="12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922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  <w:ind w:leftChars="0"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注意事项：</w:t>
      </w:r>
    </w:p>
    <w:p>
      <w:pPr>
        <w:numPr>
          <w:ilvl w:val="0"/>
          <w:numId w:val="0"/>
        </w:numPr>
        <w:spacing w:line="360" w:lineRule="auto"/>
        <w:ind w:leftChars="0"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若获取工商或社保信息失败，不允许提交。</w:t>
      </w:r>
    </w:p>
    <w:p>
      <w:pPr>
        <w:numPr>
          <w:ilvl w:val="0"/>
          <w:numId w:val="0"/>
        </w:numPr>
        <w:spacing w:line="360" w:lineRule="auto"/>
        <w:ind w:leftChars="0"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获取的社保信息中，裁员率必须符合政策要求范围，否则不允许提交。</w:t>
      </w:r>
    </w:p>
    <w:p>
      <w:pPr>
        <w:numPr>
          <w:ilvl w:val="0"/>
          <w:numId w:val="0"/>
        </w:numPr>
        <w:spacing w:line="360" w:lineRule="auto"/>
        <w:ind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textAlignment w:val="auto"/>
        <w:rPr>
          <w:rFonts w:hint="eastAsia" w:ascii="方正仿宋简体" w:hAnsi="方正仿宋简体" w:eastAsia="方正仿宋简体" w:cs="方正仿宋简体"/>
          <w:snapToGrid w:val="0"/>
          <w:sz w:val="32"/>
          <w:szCs w:val="32"/>
          <w:lang w:val="en-US" w:eastAsia="zh-CN"/>
        </w:rPr>
      </w:pPr>
    </w:p>
    <w:p/>
    <w:sectPr>
      <w:footerReference r:id="rId3" w:type="default"/>
      <w:pgSz w:w="11905" w:h="16850"/>
      <w:pgMar w:top="1587" w:right="1587" w:bottom="1587" w:left="1587" w:header="720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9B31FBC2-14DB-4D34-ACCA-7A5F6C700C6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xZTU5ZWRiM2ZlNzk4NGVhMzE2NzJhNzVjMWJlMzIifQ=="/>
  </w:docVars>
  <w:rsids>
    <w:rsidRoot w:val="64450129"/>
    <w:rsid w:val="062D7ACA"/>
    <w:rsid w:val="0AC20A96"/>
    <w:rsid w:val="2F37747C"/>
    <w:rsid w:val="39F57829"/>
    <w:rsid w:val="50365C8E"/>
    <w:rsid w:val="557C14B6"/>
    <w:rsid w:val="57AE721F"/>
    <w:rsid w:val="64450129"/>
    <w:rsid w:val="6C260BC6"/>
    <w:rsid w:val="7A1D7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-SA"/>
    </w:rPr>
  </w:style>
  <w:style w:type="paragraph" w:styleId="3">
    <w:name w:val="heading 3"/>
    <w:basedOn w:val="1"/>
    <w:next w:val="1"/>
    <w:autoRedefine/>
    <w:unhideWhenUsed/>
    <w:qFormat/>
    <w:uiPriority w:val="0"/>
    <w:pPr>
      <w:keepNext/>
      <w:keepLines/>
      <w:numPr>
        <w:ilvl w:val="2"/>
        <w:numId w:val="0"/>
      </w:numPr>
      <w:snapToGrid w:val="0"/>
      <w:spacing w:line="480" w:lineRule="auto"/>
      <w:ind w:left="680" w:hanging="680"/>
      <w:outlineLvl w:val="2"/>
    </w:pPr>
    <w:rPr>
      <w:rFonts w:ascii="Times New Roman" w:hAnsi="Times New Roman" w:eastAsia="黑体"/>
      <w:b/>
      <w:bCs/>
      <w:kern w:val="0"/>
      <w:sz w:val="30"/>
      <w:szCs w:val="32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  <w:style w:type="character" w:styleId="8">
    <w:name w:val="Hyperlink"/>
    <w:basedOn w:val="7"/>
    <w:autoRedefine/>
    <w:qFormat/>
    <w:uiPriority w:val="0"/>
    <w:rPr>
      <w:color w:val="0000FF"/>
      <w:u w:val="single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河源市人力资源社会保障局</Company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2021-07-05T01:41:00Z</dcterms:created>
  <dc:creator>张善炜</dc:creator>
  <cp:lastModifiedBy>肥大天</cp:lastModifiedBy>
  <cp:lastPrinted>2021-07-13T10:00:00Z</cp:lastPrinted>
  <dcterms:modified xsi:type="dcterms:W3CDTF">2024-12-25T09:42:33Z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KSOSaveFontToCloudKey">
    <vt:lpwstr>703026900_btnclosed</vt:lpwstr>
  </property>
  <property fmtid="{D5CDD505-2E9C-101B-9397-08002B2CF9AE}" pid="4" name="ICV">
    <vt:lpwstr>90E448C88067439C9435D50E884C24CE</vt:lpwstr>
  </property>
</Properties>
</file>