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adjustRightInd w:val="0"/>
        <w:snapToGrid w:val="0"/>
        <w:ind w:firstLine="0" w:firstLineChars="0"/>
        <w:rPr>
          <w:rFonts w:eastAsia="黑体" w:cs="Times New Roman"/>
          <w:b w:val="0"/>
          <w:bCs/>
          <w:kern w:val="0"/>
          <w:sz w:val="32"/>
          <w:szCs w:val="32"/>
        </w:rPr>
      </w:pPr>
      <w:r>
        <w:rPr>
          <w:rFonts w:eastAsia="黑体" w:cs="Times New Roman"/>
          <w:b w:val="0"/>
          <w:bCs/>
          <w:kern w:val="0"/>
          <w:sz w:val="32"/>
          <w:szCs w:val="32"/>
        </w:rPr>
        <w:t>附件2</w:t>
      </w:r>
    </w:p>
    <w:p>
      <w:pPr>
        <w:pStyle w:val="3"/>
        <w:keepNext w:val="0"/>
        <w:keepLines w:val="0"/>
        <w:widowControl w:val="0"/>
        <w:snapToGrid w:val="0"/>
        <w:spacing w:before="0" w:after="0" w:line="59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</w:pPr>
    </w:p>
    <w:p>
      <w:pPr>
        <w:pStyle w:val="3"/>
        <w:keepNext w:val="0"/>
        <w:keepLines w:val="0"/>
        <w:widowControl w:val="0"/>
        <w:snapToGrid w:val="0"/>
        <w:spacing w:before="0" w:after="0" w:line="590" w:lineRule="exact"/>
        <w:ind w:firstLine="0" w:firstLineChars="0"/>
        <w:rPr>
          <w:rFonts w:ascii="Times New Roman" w:hAnsi="Times New Roman" w:eastAsia="方正小标宋简体" w:cs="Times New Roman"/>
          <w:b w:val="0"/>
          <w:bCs/>
          <w:snapToGrid w:val="0"/>
          <w:color w:val="000000"/>
          <w:spacing w:val="0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 w:val="0"/>
          <w:bCs/>
          <w:snapToGrid w:val="0"/>
          <w:color w:val="000000"/>
          <w:spacing w:val="0"/>
          <w:kern w:val="0"/>
          <w:sz w:val="44"/>
          <w:szCs w:val="44"/>
        </w:rPr>
        <w:t>2022年广东省农产品产地冷藏保鲜设施</w:t>
      </w:r>
    </w:p>
    <w:p>
      <w:pPr>
        <w:pStyle w:val="3"/>
        <w:keepNext w:val="0"/>
        <w:keepLines w:val="0"/>
        <w:widowControl w:val="0"/>
        <w:snapToGrid w:val="0"/>
        <w:spacing w:before="0" w:after="0" w:line="590" w:lineRule="exact"/>
        <w:ind w:firstLine="0" w:firstLineChars="0"/>
        <w:rPr>
          <w:rFonts w:ascii="Times New Roman" w:hAnsi="Times New Roman" w:eastAsia="方正小标宋简体" w:cs="Times New Roman"/>
          <w:b w:val="0"/>
          <w:bCs/>
          <w:snapToGrid w:val="0"/>
          <w:color w:val="000000"/>
          <w:spacing w:val="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/>
          <w:snapToGrid w:val="0"/>
          <w:color w:val="000000"/>
          <w:spacing w:val="0"/>
          <w:kern w:val="0"/>
          <w:sz w:val="44"/>
          <w:szCs w:val="44"/>
        </w:rPr>
        <w:t>建设补助限额标准（试行）</w:t>
      </w:r>
    </w:p>
    <w:bookmarkEnd w:id="0"/>
    <w:p>
      <w:pPr>
        <w:adjustRightInd w:val="0"/>
        <w:snapToGrid w:val="0"/>
        <w:spacing w:line="590" w:lineRule="exact"/>
        <w:rPr>
          <w:rFonts w:ascii="Times New Roman" w:hAnsi="Times New Roman" w:cs="Times New Roman"/>
          <w:color w:val="000000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508"/>
        <w:gridCol w:w="1476"/>
        <w:gridCol w:w="1221"/>
        <w:gridCol w:w="1179"/>
        <w:gridCol w:w="1201"/>
        <w:gridCol w:w="118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66" w:type="pct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设施类型</w:t>
            </w: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冷库规格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（立方米）</w:t>
            </w:r>
          </w:p>
        </w:tc>
        <w:tc>
          <w:tcPr>
            <w:tcW w:w="80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库容补贴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（元/立方米）</w:t>
            </w:r>
          </w:p>
        </w:tc>
        <w:tc>
          <w:tcPr>
            <w:tcW w:w="7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冷库投影面积（元/平方）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制冷机组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功率（匹）</w:t>
            </w:r>
          </w:p>
        </w:tc>
        <w:tc>
          <w:tcPr>
            <w:tcW w:w="72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冷风机换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热面积（m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折算后单位造价（元/立方）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机械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冷库</w:t>
            </w:r>
          </w:p>
        </w:tc>
        <w:tc>
          <w:tcPr>
            <w:tcW w:w="306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高温库</w:t>
            </w: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≤200</w:t>
            </w:r>
          </w:p>
        </w:tc>
        <w:tc>
          <w:tcPr>
            <w:tcW w:w="80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725" w:type="pct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每25立方米至少配1匹</w:t>
            </w:r>
          </w:p>
        </w:tc>
        <w:tc>
          <w:tcPr>
            <w:tcW w:w="729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与制冷机组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功率（匹）相匹配，每匹至少配12平方</w:t>
            </w: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1033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≤400</w:t>
            </w:r>
          </w:p>
        </w:tc>
        <w:tc>
          <w:tcPr>
            <w:tcW w:w="80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每35立方米至少配1匹</w:t>
            </w: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933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≤800</w:t>
            </w:r>
          </w:p>
        </w:tc>
        <w:tc>
          <w:tcPr>
            <w:tcW w:w="80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867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≤1000</w:t>
            </w:r>
          </w:p>
        </w:tc>
        <w:tc>
          <w:tcPr>
            <w:tcW w:w="80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833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＞1000</w:t>
            </w:r>
          </w:p>
        </w:tc>
        <w:tc>
          <w:tcPr>
            <w:tcW w:w="80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每40立方米至少配1匹</w:t>
            </w: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低温库</w:t>
            </w: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≤200</w:t>
            </w:r>
          </w:p>
        </w:tc>
        <w:tc>
          <w:tcPr>
            <w:tcW w:w="80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725" w:type="pct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每20立方米至少配1匹</w:t>
            </w:r>
          </w:p>
        </w:tc>
        <w:tc>
          <w:tcPr>
            <w:tcW w:w="729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与制冷机组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功率（匹）相匹配，每匹至少配10平方</w:t>
            </w: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≤400</w:t>
            </w:r>
          </w:p>
        </w:tc>
        <w:tc>
          <w:tcPr>
            <w:tcW w:w="80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每30立方米至少配1匹</w:t>
            </w: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≤800</w:t>
            </w:r>
          </w:p>
        </w:tc>
        <w:tc>
          <w:tcPr>
            <w:tcW w:w="80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1033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≤1000</w:t>
            </w:r>
          </w:p>
        </w:tc>
        <w:tc>
          <w:tcPr>
            <w:tcW w:w="80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＞1000</w:t>
            </w:r>
          </w:p>
        </w:tc>
        <w:tc>
          <w:tcPr>
            <w:tcW w:w="80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每40立方米至少配1匹</w:t>
            </w: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933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多功能冷库</w:t>
            </w: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≤200</w:t>
            </w:r>
          </w:p>
        </w:tc>
        <w:tc>
          <w:tcPr>
            <w:tcW w:w="80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725" w:type="pct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每20立方米至少配1匹</w:t>
            </w:r>
          </w:p>
        </w:tc>
        <w:tc>
          <w:tcPr>
            <w:tcW w:w="729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与制冷机组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功率（匹）相匹配，每匹至少配12平方</w:t>
            </w: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1433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≤400</w:t>
            </w:r>
          </w:p>
        </w:tc>
        <w:tc>
          <w:tcPr>
            <w:tcW w:w="80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每30立方米至少配1匹</w:t>
            </w: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≤800</w:t>
            </w:r>
          </w:p>
        </w:tc>
        <w:tc>
          <w:tcPr>
            <w:tcW w:w="80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≤1000</w:t>
            </w:r>
          </w:p>
        </w:tc>
        <w:tc>
          <w:tcPr>
            <w:tcW w:w="80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1133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＞1000</w:t>
            </w:r>
          </w:p>
        </w:tc>
        <w:tc>
          <w:tcPr>
            <w:tcW w:w="80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每40立方米至少配1匹</w:t>
            </w: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气调库</w:t>
            </w: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≤200</w:t>
            </w:r>
          </w:p>
        </w:tc>
        <w:tc>
          <w:tcPr>
            <w:tcW w:w="80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725" w:type="pct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每25立方米至少配1匹</w:t>
            </w:r>
          </w:p>
        </w:tc>
        <w:tc>
          <w:tcPr>
            <w:tcW w:w="729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与制冷机组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功率（匹）相匹配，每匹至少配10平方</w:t>
            </w: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1250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≤400</w:t>
            </w:r>
          </w:p>
        </w:tc>
        <w:tc>
          <w:tcPr>
            <w:tcW w:w="80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每35立方米至少配1匹</w:t>
            </w: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1167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≤800</w:t>
            </w:r>
          </w:p>
        </w:tc>
        <w:tc>
          <w:tcPr>
            <w:tcW w:w="80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1067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≤1000</w:t>
            </w:r>
          </w:p>
        </w:tc>
        <w:tc>
          <w:tcPr>
            <w:tcW w:w="80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＞1000</w:t>
            </w:r>
          </w:p>
        </w:tc>
        <w:tc>
          <w:tcPr>
            <w:tcW w:w="80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每40立方米至少配1匹</w:t>
            </w: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967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pct"/>
            <w:gridSpan w:val="2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预冷库</w:t>
            </w: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≤200</w:t>
            </w:r>
          </w:p>
        </w:tc>
        <w:tc>
          <w:tcPr>
            <w:tcW w:w="80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725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每10立方米至少配1匹</w:t>
            </w:r>
          </w:p>
        </w:tc>
        <w:tc>
          <w:tcPr>
            <w:tcW w:w="729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与制冷机组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功率（匹）相匹配，每匹至少配12平方</w:t>
            </w: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1433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≤400</w:t>
            </w:r>
          </w:p>
        </w:tc>
        <w:tc>
          <w:tcPr>
            <w:tcW w:w="80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每15立方米至少配1匹</w:t>
            </w: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1333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≤800</w:t>
            </w:r>
          </w:p>
        </w:tc>
        <w:tc>
          <w:tcPr>
            <w:tcW w:w="80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1233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≤1000</w:t>
            </w:r>
          </w:p>
        </w:tc>
        <w:tc>
          <w:tcPr>
            <w:tcW w:w="80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1133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＞1000</w:t>
            </w:r>
          </w:p>
        </w:tc>
        <w:tc>
          <w:tcPr>
            <w:tcW w:w="80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7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每20立方米至少配1匹</w:t>
            </w:r>
          </w:p>
        </w:tc>
        <w:tc>
          <w:tcPr>
            <w:tcW w:w="72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pct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通风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贮藏库</w:t>
            </w: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地上通风贮藏库</w:t>
            </w:r>
          </w:p>
        </w:tc>
        <w:tc>
          <w:tcPr>
            <w:tcW w:w="80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≤60</w:t>
            </w:r>
          </w:p>
        </w:tc>
        <w:tc>
          <w:tcPr>
            <w:tcW w:w="2999" w:type="pct"/>
            <w:gridSpan w:val="4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Merge w:val="continue"/>
            <w:noWrap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地窖</w:t>
            </w:r>
          </w:p>
        </w:tc>
        <w:tc>
          <w:tcPr>
            <w:tcW w:w="80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≤70</w:t>
            </w:r>
          </w:p>
        </w:tc>
        <w:tc>
          <w:tcPr>
            <w:tcW w:w="2999" w:type="pct"/>
            <w:gridSpan w:val="4"/>
            <w:vMerge w:val="continue"/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7"/>
        <w:adjustRightInd w:val="0"/>
        <w:snapToGrid w:val="0"/>
        <w:spacing w:line="400" w:lineRule="exact"/>
        <w:ind w:firstLine="0" w:firstLineChars="0"/>
        <w:rPr>
          <w:rFonts w:eastAsia="黑体" w:cs="Times New Roman"/>
          <w:color w:val="000000"/>
          <w:sz w:val="22"/>
          <w:szCs w:val="22"/>
        </w:rPr>
      </w:pPr>
      <w:r>
        <w:rPr>
          <w:rFonts w:eastAsia="黑体" w:cs="Times New Roman"/>
          <w:color w:val="000000"/>
          <w:sz w:val="22"/>
          <w:szCs w:val="22"/>
        </w:rPr>
        <w:t>说明：</w:t>
      </w:r>
    </w:p>
    <w:p>
      <w:pPr>
        <w:pStyle w:val="7"/>
        <w:adjustRightInd w:val="0"/>
        <w:snapToGrid w:val="0"/>
        <w:spacing w:line="400" w:lineRule="exact"/>
        <w:ind w:firstLine="440"/>
        <w:rPr>
          <w:rFonts w:eastAsia="楷体_GB2312" w:cs="Times New Roman"/>
          <w:color w:val="000000"/>
          <w:sz w:val="22"/>
          <w:szCs w:val="22"/>
        </w:rPr>
      </w:pPr>
      <w:r>
        <w:rPr>
          <w:rFonts w:eastAsia="楷体_GB2312" w:cs="Times New Roman"/>
          <w:color w:val="000000"/>
          <w:sz w:val="22"/>
          <w:szCs w:val="22"/>
        </w:rPr>
        <w:t>（一）计算方式</w:t>
      </w:r>
    </w:p>
    <w:p>
      <w:pPr>
        <w:pStyle w:val="7"/>
        <w:adjustRightInd w:val="0"/>
        <w:snapToGrid w:val="0"/>
        <w:spacing w:line="400" w:lineRule="exact"/>
        <w:ind w:firstLine="440"/>
        <w:rPr>
          <w:rFonts w:eastAsia="仿宋_GB2312" w:cs="Times New Roman"/>
          <w:color w:val="000000"/>
          <w:sz w:val="22"/>
          <w:szCs w:val="22"/>
        </w:rPr>
      </w:pPr>
      <w:r>
        <w:rPr>
          <w:rFonts w:eastAsia="仿宋_GB2312" w:cs="Times New Roman"/>
          <w:color w:val="000000"/>
          <w:sz w:val="22"/>
          <w:szCs w:val="22"/>
        </w:rPr>
        <w:t>1.《2022年广东省农产品产地冷藏保鲜设施建设补助限额标准（试行）》中为指导参考补助标准，各地可结合实际，经论证、公示后进行调整。</w:t>
      </w:r>
    </w:p>
    <w:p>
      <w:pPr>
        <w:pStyle w:val="7"/>
        <w:adjustRightInd w:val="0"/>
        <w:snapToGrid w:val="0"/>
        <w:spacing w:line="400" w:lineRule="exact"/>
        <w:ind w:firstLine="440"/>
        <w:rPr>
          <w:rFonts w:eastAsia="仿宋_GB2312" w:cs="Times New Roman"/>
          <w:color w:val="000000"/>
          <w:sz w:val="22"/>
          <w:szCs w:val="22"/>
        </w:rPr>
      </w:pPr>
      <w:r>
        <w:rPr>
          <w:rFonts w:eastAsia="仿宋_GB2312" w:cs="Times New Roman"/>
          <w:color w:val="000000"/>
          <w:sz w:val="22"/>
          <w:szCs w:val="22"/>
        </w:rPr>
        <w:t>计算方式：最高补助金额=净库容×单位库容补助价格+冷库投影面积×单位面积补助价格+配套设施设备×30%；验收确认补助金额应小于等于最高补助金额。</w:t>
      </w:r>
    </w:p>
    <w:p>
      <w:pPr>
        <w:pStyle w:val="7"/>
        <w:adjustRightInd w:val="0"/>
        <w:snapToGrid w:val="0"/>
        <w:spacing w:line="400" w:lineRule="exact"/>
        <w:ind w:firstLine="440"/>
        <w:rPr>
          <w:rFonts w:eastAsia="仿宋_GB2312" w:cs="Times New Roman"/>
          <w:color w:val="000000"/>
          <w:sz w:val="22"/>
          <w:szCs w:val="22"/>
        </w:rPr>
      </w:pPr>
      <w:r>
        <w:rPr>
          <w:rFonts w:eastAsia="仿宋_GB2312" w:cs="Times New Roman"/>
          <w:color w:val="000000"/>
          <w:sz w:val="22"/>
          <w:szCs w:val="22"/>
        </w:rPr>
        <w:t>2.“库中库”形式，需按照大库减去小库容积计算，即同一容积内只计算一种补贴。</w:t>
      </w:r>
    </w:p>
    <w:p>
      <w:pPr>
        <w:pStyle w:val="7"/>
        <w:adjustRightInd w:val="0"/>
        <w:snapToGrid w:val="0"/>
        <w:spacing w:line="400" w:lineRule="exact"/>
        <w:ind w:firstLine="440"/>
        <w:rPr>
          <w:rFonts w:eastAsia="仿宋_GB2312" w:cs="Times New Roman"/>
          <w:color w:val="000000"/>
          <w:sz w:val="22"/>
          <w:szCs w:val="22"/>
        </w:rPr>
      </w:pPr>
      <w:r>
        <w:rPr>
          <w:rFonts w:eastAsia="仿宋_GB2312" w:cs="Times New Roman"/>
          <w:color w:val="000000"/>
          <w:sz w:val="22"/>
          <w:szCs w:val="22"/>
        </w:rPr>
        <w:t>如：在通风库中建设了高温库，高温库容积按照实际容积计算，通风库容积按照通风库总容积减去高温库容积。</w:t>
      </w:r>
    </w:p>
    <w:p>
      <w:pPr>
        <w:pStyle w:val="7"/>
        <w:adjustRightInd w:val="0"/>
        <w:snapToGrid w:val="0"/>
        <w:spacing w:line="400" w:lineRule="exact"/>
        <w:ind w:firstLine="440"/>
        <w:rPr>
          <w:rFonts w:eastAsia="楷体_GB2312" w:cs="Times New Roman"/>
          <w:color w:val="000000"/>
          <w:sz w:val="22"/>
          <w:szCs w:val="22"/>
        </w:rPr>
      </w:pPr>
      <w:r>
        <w:rPr>
          <w:rFonts w:eastAsia="楷体_GB2312" w:cs="Times New Roman"/>
          <w:color w:val="000000"/>
          <w:sz w:val="22"/>
          <w:szCs w:val="22"/>
        </w:rPr>
        <w:t>（二）设施设备要求：</w:t>
      </w:r>
    </w:p>
    <w:p>
      <w:pPr>
        <w:pStyle w:val="7"/>
        <w:adjustRightInd w:val="0"/>
        <w:snapToGrid w:val="0"/>
        <w:spacing w:line="400" w:lineRule="exact"/>
        <w:ind w:firstLine="440"/>
        <w:rPr>
          <w:rFonts w:eastAsia="仿宋_GB2312" w:cs="Times New Roman"/>
          <w:color w:val="000000"/>
          <w:sz w:val="22"/>
          <w:szCs w:val="22"/>
        </w:rPr>
      </w:pPr>
      <w:r>
        <w:rPr>
          <w:rFonts w:eastAsia="仿宋_GB2312" w:cs="Times New Roman"/>
          <w:color w:val="000000"/>
          <w:sz w:val="22"/>
          <w:szCs w:val="22"/>
        </w:rPr>
        <w:t>1.预冷库、高温库及气调库保温材料聚氨酯板厚度不小于100mm，直接喷涂厚度不小于80mm，低温库、多功能冷库保温材料聚氨酯板厚度不小于150mm，直接喷涂厚度不小于100mm；</w:t>
      </w:r>
    </w:p>
    <w:p>
      <w:pPr>
        <w:pStyle w:val="7"/>
        <w:adjustRightInd w:val="0"/>
        <w:snapToGrid w:val="0"/>
        <w:spacing w:line="400" w:lineRule="exact"/>
        <w:ind w:firstLine="440"/>
        <w:rPr>
          <w:rFonts w:eastAsia="仿宋_GB2312" w:cs="Times New Roman"/>
          <w:color w:val="000000"/>
          <w:sz w:val="22"/>
          <w:szCs w:val="22"/>
        </w:rPr>
      </w:pPr>
      <w:r>
        <w:rPr>
          <w:rFonts w:eastAsia="仿宋_GB2312" w:cs="Times New Roman"/>
          <w:color w:val="000000"/>
          <w:sz w:val="22"/>
          <w:szCs w:val="22"/>
        </w:rPr>
        <w:t>2.</w:t>
      </w:r>
      <w:r>
        <w:rPr>
          <w:rFonts w:cs="Times New Roman"/>
          <w:color w:val="000000"/>
          <w:sz w:val="22"/>
          <w:szCs w:val="22"/>
        </w:rPr>
        <w:t>冷库保温材料</w:t>
      </w:r>
      <w:r>
        <w:rPr>
          <w:rFonts w:eastAsia="仿宋_GB2312" w:cs="Times New Roman"/>
          <w:color w:val="000000"/>
          <w:sz w:val="22"/>
          <w:szCs w:val="22"/>
        </w:rPr>
        <w:t>（聚氨酯保温板）防火等级为B1级阻燃；</w:t>
      </w:r>
    </w:p>
    <w:p>
      <w:pPr>
        <w:pStyle w:val="7"/>
        <w:adjustRightInd w:val="0"/>
        <w:snapToGrid w:val="0"/>
        <w:spacing w:line="400" w:lineRule="exact"/>
        <w:ind w:firstLine="440"/>
        <w:rPr>
          <w:rFonts w:eastAsia="仿宋_GB2312" w:cs="Times New Roman"/>
          <w:color w:val="000000"/>
          <w:sz w:val="22"/>
          <w:szCs w:val="22"/>
        </w:rPr>
      </w:pPr>
      <w:r>
        <w:rPr>
          <w:rFonts w:eastAsia="仿宋_GB2312" w:cs="Times New Roman"/>
          <w:color w:val="000000"/>
          <w:sz w:val="22"/>
          <w:szCs w:val="22"/>
        </w:rPr>
        <w:t>3.所有冷库建设中压缩机、冷风机、风幕机需购买中高档知名品牌。</w:t>
      </w:r>
    </w:p>
    <w:p>
      <w:pPr>
        <w:pStyle w:val="7"/>
        <w:adjustRightInd w:val="0"/>
        <w:snapToGrid w:val="0"/>
        <w:spacing w:line="400" w:lineRule="exact"/>
        <w:ind w:firstLine="440"/>
        <w:rPr>
          <w:rFonts w:cs="Times New Roman"/>
          <w:color w:val="000000"/>
          <w:sz w:val="22"/>
          <w:szCs w:val="22"/>
        </w:rPr>
      </w:pPr>
      <w:r>
        <w:rPr>
          <w:rFonts w:eastAsia="仿宋_GB2312" w:cs="Times New Roman"/>
          <w:color w:val="000000"/>
          <w:sz w:val="22"/>
          <w:szCs w:val="22"/>
        </w:rPr>
        <w:t>5.根据农业农村部的要求,可配备必要的称量、清洗、分级、检测、信息采集等设备以及新建贮藏设施专用的供配电设备，并提供完善的财务资料、合格证等。</w:t>
      </w:r>
    </w:p>
    <w:p>
      <w:pPr>
        <w:jc w:val="center"/>
        <w:rPr>
          <w:rFonts w:ascii="Times New Roman" w:hAnsi="Times New Roman" w:eastAsia="仿宋" w:cs="Times New Roman"/>
          <w:b/>
          <w:color w:val="000000"/>
          <w:kern w:val="0"/>
          <w:sz w:val="24"/>
        </w:rPr>
      </w:pPr>
    </w:p>
    <w:p>
      <w:pPr>
        <w:pStyle w:val="4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E0ED6"/>
    <w:rsid w:val="274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adjustRightInd w:val="0"/>
      <w:spacing w:before="240" w:after="240" w:line="360" w:lineRule="auto"/>
      <w:ind w:firstLine="803" w:firstLineChars="200"/>
      <w:jc w:val="center"/>
      <w:textAlignment w:val="baseline"/>
      <w:outlineLvl w:val="0"/>
    </w:pPr>
    <w:rPr>
      <w:rFonts w:ascii="方正小标宋_GBK" w:hAnsi="方正小标宋_GBK" w:eastAsia="黑体"/>
      <w:b/>
      <w:spacing w:val="20"/>
      <w:kern w:val="44"/>
      <w:sz w:val="36"/>
      <w:szCs w:val="20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90" w:lineRule="exact"/>
      <w:ind w:firstLine="720" w:firstLineChars="200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</w:style>
  <w:style w:type="paragraph" w:customStyle="1" w:styleId="7">
    <w:name w:val="报告正文"/>
    <w:basedOn w:val="1"/>
    <w:qFormat/>
    <w:uiPriority w:val="0"/>
    <w:pPr>
      <w:ind w:firstLine="640" w:firstLineChars="200"/>
    </w:pPr>
    <w:rPr>
      <w:rFonts w:ascii="Times New Roman" w:hAnsi="Times New Roman" w:eastAsia="仿宋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2022-12-08T08:58:00Z</dcterms:created>
  <dc:creator>Administrator</dc:creator>
  <cp:lastModifiedBy>Administrator</cp:lastModifiedBy>
  <dcterms:modified xsi:type="dcterms:W3CDTF">2022-12-08T08:59:24Z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ED9CA1537A3946B8994186A205056795</vt:lpwstr>
  </property>
</Properties>
</file>