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  <w:t>《汕头市现代农业产业园市级财政资金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  <w:t>管理规定》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汕头市现代农业产业园市级财政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资金管理规定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》（汕农农函〔2024〕100号，以下简称《管理规定》）已于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印发，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现就《管理规定》有关内容解读如下：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为加强汕头市现代农业产业园市级财政补助资金管理，高质量推进第二轮市级现代农业产业园建设，结合市审计整改要求，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按照《汕头市现代农业产业园建设工作方案（2022-2025年）》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农农函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〔2022〕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254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），参照省农业农村厅 省财政厅印发的《广东省现代农业产业园财政资金管理办法（修订）》（粤农农规〔2023〕6号）等，制定本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《管理规定》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（一）明确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</w:rPr>
        <w:t>资金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下达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</w:rPr>
        <w:t>拨付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要求。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按照每个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市级产业园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补助标准，市财政在产业园第一个建设年度安排50%资金额度予以扶持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市级财政补助资金下达后，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12个月内的市级财政补助资金投入率不得低于80%、区（县）财政拨付实施主体不得低于已投资部分的80%，22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个月内应当使用完毕（质保金除外）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（二）明确资金投入方向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市级财政补助资金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允许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农业设施、农业机械装备、冷链物流设施、土地流转、产业融合、科技研发等方面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。鼓励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支持区域公用品牌创建、加工工艺研发及系列产品开发、联结农户的物流电商平台、建设项目贷款贴息、风险补偿金、数字农业、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土地流转、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支持联农带农等方面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明确了财政资金负面清单。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不得用于建设楼堂馆所、牌坊门楼、亭台楼阁、停车场、路灯、市政道路，不得用于企业经营性开支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债务等一般性支出，不得用于规划编制、可研报告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、项目验收、监督检查、内部审计、绩效管理、咨询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服务、业务培训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等管理费用支出，不得用于已有普惠性政策渠道支持的建设内容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（三）细化实施主体资格条件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bidi="ar-SA"/>
        </w:rPr>
        <w:t>实施主体（含调整资金使用方案时新调整进来的实施主体）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bidi="ar-SA"/>
        </w:rPr>
        <w:t>为已登记设立的独立法人主体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bidi="ar-SA"/>
        </w:rPr>
        <w:t>具备与经营生产相匹配的人员、场地、资金、设备设施等资源要素条件；企业具备履行合同、偿还债务的能力，资产负债率原则上不高于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bidi="ar-SA"/>
        </w:rPr>
        <w:t>65%；申报或新增时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bidi="ar-SA"/>
        </w:rPr>
        <w:t>诚信守法经营，未被列入信用记录失信被执行人、重大税收违法案件当事人名单、政府采购严重违法失信行为记录名单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同一产业园内实施主体及其关联实施主体所分配的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级财政资金额占比不超过50%；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同一企业（单位）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已参与2个以上（不含2个）在建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现代农业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产业园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建设的，原则上不作为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实施主体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（四）明确资金备案材料。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资金使用方案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时，应提交以下材料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：一是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由责任主体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、加盖公章的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公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函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，附修改后的资金使用方案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；二是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具体变更项目、资金情况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（前后对照）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，详细说明变更的理由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；三是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变更实施主体情况（企业登记注册、产业经营情况、基本情况简介等）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；四是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</w:rPr>
        <w:t>专家论证会论证意见。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（五）明确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重大调整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情形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属于以下重大调整情形的，责任主体应进行综合评估、提前向市农业农村局报告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。一是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调整牵头实施主体的；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调整原申报方案确定的实施主体，涉及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家以上的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产业园项目建设规模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幅度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大于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20%以上的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因自然灾害等不可抗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  <w:t>因素造成项目建设内容发生重大变化的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none"/>
          <w:lang w:val="en-US" w:eastAsia="zh-CN"/>
        </w:rPr>
        <w:t>完善实施主体退出机制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</w:rPr>
        <w:t>实施主体出现下列情形之一，由责任主体取消其实施主体资格，并对外发布通报，报送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市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</w:rPr>
        <w:t>农业农村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局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</w:rPr>
        <w:t>和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市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</w:rPr>
        <w:t>财政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局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</w:rPr>
        <w:t>：</w:t>
      </w:r>
      <w:r>
        <w:rPr>
          <w:rFonts w:hint="eastAsia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一是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</w:rPr>
        <w:t>以虚报、冒领、关联交易等手段骗取财政资金，从无偿使用的财政资金中非法获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  <w:lang w:eastAsia="zh-CN"/>
        </w:rPr>
        <w:t>益，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</w:rPr>
        <w:t>其他严重违反规定使用财政资金的；</w:t>
      </w:r>
      <w:r>
        <w:rPr>
          <w:rFonts w:hint="eastAsia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二是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</w:rPr>
        <w:t>虚列投资完成额情况严重的；</w:t>
      </w:r>
      <w:r>
        <w:rPr>
          <w:rFonts w:hint="eastAsia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三是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</w:rPr>
        <w:t>项目建成未投产运营且运营主体主动灭失（如注销工商登记等），或未满足投资回收就将财政资金形成的实物资产变卖套现的；</w:t>
      </w:r>
      <w:r>
        <w:rPr>
          <w:rFonts w:hint="eastAsia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四是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</w:rPr>
        <w:t>其他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  <w:lang w:eastAsia="zh-CN"/>
        </w:rPr>
        <w:t>严重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</w:rPr>
        <w:t>违法违规行为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被责令取消资格的实施主体，同时取消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</w:rPr>
        <w:t>该实施主体及其关联企业3年内申报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市级及以上财政支农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涉农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资金项目资</w:t>
      </w:r>
      <w:r>
        <w:rPr>
          <w:rFonts w:hint="default" w:ascii="Times New Roman" w:hAnsi="Times New Roman" w:eastAsia="FangSong_GB2312" w:cs="Times New Roman"/>
          <w:b w:val="0"/>
          <w:bCs w:val="0"/>
          <w:sz w:val="32"/>
          <w:highlight w:val="none"/>
          <w:u w:val="none"/>
          <w:lang w:eastAsia="zh-CN"/>
        </w:rPr>
        <w:t>格</w:t>
      </w:r>
      <w:r>
        <w:rPr>
          <w:rFonts w:hint="eastAsia" w:ascii="Times New Roman" w:hAnsi="Times New Roman" w:eastAsia="FangSong_GB2312" w:cs="Times New Roman"/>
          <w:b w:val="0"/>
          <w:bCs w:val="0"/>
          <w:sz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实施时间及有效期限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《管理规定》自2024年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日起实施，有效期至202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日止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ODUzY2QzZGU3ZTRmMzhlOGVlMzBjOWFmMGFjMzIifQ=="/>
  </w:docVars>
  <w:rsids>
    <w:rsidRoot w:val="00172A27"/>
    <w:rsid w:val="003736BB"/>
    <w:rsid w:val="054F0926"/>
    <w:rsid w:val="05710F61"/>
    <w:rsid w:val="062C2344"/>
    <w:rsid w:val="066518C4"/>
    <w:rsid w:val="07064FAA"/>
    <w:rsid w:val="09234907"/>
    <w:rsid w:val="0A79749D"/>
    <w:rsid w:val="0BBD3C54"/>
    <w:rsid w:val="0D154EF0"/>
    <w:rsid w:val="0F0A67CD"/>
    <w:rsid w:val="107C5BB6"/>
    <w:rsid w:val="136B63CA"/>
    <w:rsid w:val="14903910"/>
    <w:rsid w:val="14BB3E22"/>
    <w:rsid w:val="15C9302D"/>
    <w:rsid w:val="1755CD23"/>
    <w:rsid w:val="194F7DBB"/>
    <w:rsid w:val="1BFA7BB0"/>
    <w:rsid w:val="1BFE4A61"/>
    <w:rsid w:val="1C83269A"/>
    <w:rsid w:val="1D061107"/>
    <w:rsid w:val="1D545960"/>
    <w:rsid w:val="1E425A7C"/>
    <w:rsid w:val="1F306BF0"/>
    <w:rsid w:val="1FCE7E7E"/>
    <w:rsid w:val="213E5A08"/>
    <w:rsid w:val="219F4DC2"/>
    <w:rsid w:val="21D161EE"/>
    <w:rsid w:val="228D1636"/>
    <w:rsid w:val="234731C4"/>
    <w:rsid w:val="244718CF"/>
    <w:rsid w:val="24BA1137"/>
    <w:rsid w:val="24E92042"/>
    <w:rsid w:val="256F617F"/>
    <w:rsid w:val="25FF6283"/>
    <w:rsid w:val="26B00A0D"/>
    <w:rsid w:val="28233F37"/>
    <w:rsid w:val="287E6CF3"/>
    <w:rsid w:val="2A597F64"/>
    <w:rsid w:val="2AEF60EA"/>
    <w:rsid w:val="2B914319"/>
    <w:rsid w:val="2EAD3EA4"/>
    <w:rsid w:val="31F70653"/>
    <w:rsid w:val="325E6DEF"/>
    <w:rsid w:val="32EF4E1C"/>
    <w:rsid w:val="33557B89"/>
    <w:rsid w:val="338D43E6"/>
    <w:rsid w:val="341A6850"/>
    <w:rsid w:val="36217B1F"/>
    <w:rsid w:val="37EFBCC9"/>
    <w:rsid w:val="38526F7D"/>
    <w:rsid w:val="38A308AC"/>
    <w:rsid w:val="3A74569D"/>
    <w:rsid w:val="3AFEBC81"/>
    <w:rsid w:val="3B7C0B31"/>
    <w:rsid w:val="3D61456C"/>
    <w:rsid w:val="3F27B34F"/>
    <w:rsid w:val="3FBF8980"/>
    <w:rsid w:val="412C2165"/>
    <w:rsid w:val="42AC6325"/>
    <w:rsid w:val="476B0B25"/>
    <w:rsid w:val="47EB5785"/>
    <w:rsid w:val="48D83859"/>
    <w:rsid w:val="49FFDEA2"/>
    <w:rsid w:val="4A786E35"/>
    <w:rsid w:val="4DFA516B"/>
    <w:rsid w:val="4F97B798"/>
    <w:rsid w:val="504F52E3"/>
    <w:rsid w:val="50DE1274"/>
    <w:rsid w:val="51483612"/>
    <w:rsid w:val="531A1529"/>
    <w:rsid w:val="53850D9C"/>
    <w:rsid w:val="558E2426"/>
    <w:rsid w:val="58492DD6"/>
    <w:rsid w:val="5A5B45E4"/>
    <w:rsid w:val="5BECD5BC"/>
    <w:rsid w:val="5C1724C1"/>
    <w:rsid w:val="5CC7F238"/>
    <w:rsid w:val="5CEB002A"/>
    <w:rsid w:val="5DEE2AD3"/>
    <w:rsid w:val="5DF178C1"/>
    <w:rsid w:val="5DFFEEEB"/>
    <w:rsid w:val="5E6F4731"/>
    <w:rsid w:val="5F0E1492"/>
    <w:rsid w:val="5FC07612"/>
    <w:rsid w:val="5FF7662D"/>
    <w:rsid w:val="60334158"/>
    <w:rsid w:val="61E343EE"/>
    <w:rsid w:val="61FB212C"/>
    <w:rsid w:val="623906F4"/>
    <w:rsid w:val="62E03ECF"/>
    <w:rsid w:val="62F8533B"/>
    <w:rsid w:val="661046D5"/>
    <w:rsid w:val="663B7719"/>
    <w:rsid w:val="667122D8"/>
    <w:rsid w:val="6767014A"/>
    <w:rsid w:val="680F673F"/>
    <w:rsid w:val="6857100B"/>
    <w:rsid w:val="69C65319"/>
    <w:rsid w:val="6A1E2D9A"/>
    <w:rsid w:val="6B637A3C"/>
    <w:rsid w:val="6BB83D93"/>
    <w:rsid w:val="6CB0459C"/>
    <w:rsid w:val="6D79C37B"/>
    <w:rsid w:val="6DC41026"/>
    <w:rsid w:val="6EF827FE"/>
    <w:rsid w:val="6F0A1386"/>
    <w:rsid w:val="6FE9C151"/>
    <w:rsid w:val="6FEDCE78"/>
    <w:rsid w:val="6FF42377"/>
    <w:rsid w:val="6FF7B6DD"/>
    <w:rsid w:val="70C44AD9"/>
    <w:rsid w:val="71026557"/>
    <w:rsid w:val="72397A9C"/>
    <w:rsid w:val="72E10C41"/>
    <w:rsid w:val="72F977A5"/>
    <w:rsid w:val="735C717D"/>
    <w:rsid w:val="750A7FBC"/>
    <w:rsid w:val="75977A59"/>
    <w:rsid w:val="761B586E"/>
    <w:rsid w:val="761C049B"/>
    <w:rsid w:val="76B86166"/>
    <w:rsid w:val="7734224E"/>
    <w:rsid w:val="777ECF46"/>
    <w:rsid w:val="77F769AB"/>
    <w:rsid w:val="78242209"/>
    <w:rsid w:val="78C460F8"/>
    <w:rsid w:val="78F901E5"/>
    <w:rsid w:val="7A905714"/>
    <w:rsid w:val="7B7F1B95"/>
    <w:rsid w:val="7BA63327"/>
    <w:rsid w:val="7BEE6E7D"/>
    <w:rsid w:val="7C62A394"/>
    <w:rsid w:val="7CF9CA9E"/>
    <w:rsid w:val="7CFA4C93"/>
    <w:rsid w:val="7D047B8F"/>
    <w:rsid w:val="7DCFCC0D"/>
    <w:rsid w:val="7DDFA0F6"/>
    <w:rsid w:val="7DFB5E4F"/>
    <w:rsid w:val="7DFBF181"/>
    <w:rsid w:val="7DFCFF38"/>
    <w:rsid w:val="7F672B76"/>
    <w:rsid w:val="7F761310"/>
    <w:rsid w:val="7FAF541C"/>
    <w:rsid w:val="7FB3029F"/>
    <w:rsid w:val="7FEF9C2B"/>
    <w:rsid w:val="7FEFC9AF"/>
    <w:rsid w:val="7FFBBFCE"/>
    <w:rsid w:val="7FFD9D85"/>
    <w:rsid w:val="7FFFAB93"/>
    <w:rsid w:val="97FE2CBD"/>
    <w:rsid w:val="A87F5CA3"/>
    <w:rsid w:val="B1FFC370"/>
    <w:rsid w:val="B7B71283"/>
    <w:rsid w:val="BAFFFC6A"/>
    <w:rsid w:val="BEBFAF86"/>
    <w:rsid w:val="C3BFCD62"/>
    <w:rsid w:val="CDF71848"/>
    <w:rsid w:val="CFA62EF5"/>
    <w:rsid w:val="DA7B2DA0"/>
    <w:rsid w:val="DBFB43B9"/>
    <w:rsid w:val="DBFFCA1E"/>
    <w:rsid w:val="DBFFE9AA"/>
    <w:rsid w:val="DD7F02E9"/>
    <w:rsid w:val="DDDFEF9D"/>
    <w:rsid w:val="DE8B85B9"/>
    <w:rsid w:val="DF2D753E"/>
    <w:rsid w:val="E5AF3EDA"/>
    <w:rsid w:val="EB9A80F0"/>
    <w:rsid w:val="EBB965D7"/>
    <w:rsid w:val="EDBF38E1"/>
    <w:rsid w:val="EE7F13E4"/>
    <w:rsid w:val="EED79C58"/>
    <w:rsid w:val="EFBE6D8C"/>
    <w:rsid w:val="F46EB2B5"/>
    <w:rsid w:val="F47F9F27"/>
    <w:rsid w:val="F7A56F45"/>
    <w:rsid w:val="F7F91DE9"/>
    <w:rsid w:val="F97CDE08"/>
    <w:rsid w:val="FAED66CA"/>
    <w:rsid w:val="FAEDC286"/>
    <w:rsid w:val="FAFE006B"/>
    <w:rsid w:val="FB16229D"/>
    <w:rsid w:val="FB7F2619"/>
    <w:rsid w:val="FBBF6A5B"/>
    <w:rsid w:val="FBCB9E1F"/>
    <w:rsid w:val="FBEC4261"/>
    <w:rsid w:val="FBF81655"/>
    <w:rsid w:val="FD2D6139"/>
    <w:rsid w:val="FD75DA11"/>
    <w:rsid w:val="FDB6F1C0"/>
    <w:rsid w:val="FDDD4BB7"/>
    <w:rsid w:val="FDEDE72E"/>
    <w:rsid w:val="FDFF0646"/>
    <w:rsid w:val="FE7FF2B8"/>
    <w:rsid w:val="FF432B03"/>
    <w:rsid w:val="FF5BF84F"/>
    <w:rsid w:val="FF6FD086"/>
    <w:rsid w:val="FFAFB5CE"/>
    <w:rsid w:val="FFBE923F"/>
    <w:rsid w:val="FFEBEC23"/>
    <w:rsid w:val="FFFDD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0"/>
    </w:pPr>
    <w:rPr>
      <w:rFonts w:ascii="Calibri" w:hAnsi="Calibri" w:eastAsia="黑体"/>
      <w:bCs/>
      <w:kern w:val="44"/>
      <w:sz w:val="32"/>
      <w:szCs w:val="44"/>
      <w:lang w:val="zh-CN"/>
    </w:rPr>
  </w:style>
  <w:style w:type="paragraph" w:styleId="5">
    <w:name w:val="heading 2"/>
    <w:basedOn w:val="1"/>
    <w:next w:val="1"/>
    <w:link w:val="24"/>
    <w:qFormat/>
    <w:uiPriority w:val="0"/>
    <w:p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3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  <w:rPr>
      <w:rFonts w:hint="eastAsia"/>
      <w:kern w:val="2"/>
      <w:sz w:val="21"/>
    </w:r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Body Text Indent"/>
    <w:basedOn w:val="1"/>
    <w:next w:val="9"/>
    <w:qFormat/>
    <w:uiPriority w:val="0"/>
    <w:pPr>
      <w:spacing w:after="120" w:afterLines="0"/>
      <w:ind w:left="420" w:leftChars="200"/>
    </w:pPr>
    <w:rPr>
      <w:rFonts w:hint="eastAsia" w:eastAsia="宋体"/>
      <w:sz w:val="21"/>
    </w:rPr>
  </w:style>
  <w:style w:type="paragraph" w:styleId="9">
    <w:name w:val="Body Text First Indent 2"/>
    <w:basedOn w:val="8"/>
    <w:qFormat/>
    <w:uiPriority w:val="0"/>
    <w:pPr>
      <w:ind w:firstLine="420" w:firstLineChars="200"/>
    </w:pPr>
    <w:rPr>
      <w:rFonts w:hint="eastAsia"/>
      <w:sz w:val="21"/>
    </w:rPr>
  </w:style>
  <w:style w:type="paragraph" w:styleId="10">
    <w:name w:val="Plain Text"/>
    <w:basedOn w:val="1"/>
    <w:unhideWhenUsed/>
    <w:qFormat/>
    <w:uiPriority w:val="99"/>
    <w:rPr>
      <w:rFonts w:ascii="宋体" w:hAnsi="Courier New"/>
    </w:rPr>
  </w:style>
  <w:style w:type="paragraph" w:styleId="11">
    <w:name w:val="Body Text Indent 2"/>
    <w:basedOn w:val="1"/>
    <w:qFormat/>
    <w:uiPriority w:val="0"/>
    <w:pPr>
      <w:spacing w:line="550" w:lineRule="exact"/>
      <w:ind w:firstLine="640" w:firstLineChars="200"/>
    </w:pPr>
    <w:rPr>
      <w:rFonts w:ascii="仿宋_GB2312" w:eastAsia="仿宋_GB2312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eastAsia="宋体" w:cs="Arial"/>
      <w:b/>
      <w:bCs/>
      <w:sz w:val="44"/>
      <w:szCs w:val="3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mphasis"/>
    <w:basedOn w:val="20"/>
    <w:qFormat/>
    <w:uiPriority w:val="0"/>
    <w:rPr>
      <w:i/>
    </w:rPr>
  </w:style>
  <w:style w:type="character" w:styleId="23">
    <w:name w:val="Hyperlink"/>
    <w:basedOn w:val="20"/>
    <w:qFormat/>
    <w:uiPriority w:val="0"/>
    <w:rPr>
      <w:rFonts w:ascii="Arial" w:hAnsi="Arial" w:eastAsia="微软雅黑" w:cs="Arial"/>
      <w:color w:val="333333"/>
      <w:sz w:val="18"/>
      <w:szCs w:val="18"/>
      <w:u w:val="none"/>
    </w:rPr>
  </w:style>
  <w:style w:type="character" w:customStyle="1" w:styleId="24">
    <w:name w:val="标题 2 字符"/>
    <w:link w:val="5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25">
    <w:name w:val="font41"/>
    <w:basedOn w:val="20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6">
    <w:name w:val="fontstyle01"/>
    <w:basedOn w:val="2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27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customStyle="1" w:styleId="28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708</Characters>
  <Lines>0</Lines>
  <Paragraphs>0</Paragraphs>
  <TotalTime>21</TotalTime>
  <ScaleCrop>false</ScaleCrop>
  <LinksUpToDate>false</LinksUpToDate>
  <CharactersWithSpaces>738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2022-09-15T16:00:00Z</dcterms:created>
  <dc:creator>Ha</dc:creator>
  <cp:lastModifiedBy>uos</cp:lastModifiedBy>
  <cp:lastPrinted>2023-12-21T00:04:00Z</cp:lastPrinted>
  <dcterms:modified xsi:type="dcterms:W3CDTF">2024-03-11T15:17:51Z</dcterms:modified>
  <dc:title>关于2022年我市农村村内道路建设民生实事办理进展情况的通报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2A3B08A2A6344E57B03B3DB7ED3814C9_13</vt:lpwstr>
  </property>
</Properties>
</file>