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sz w:val="30"/>
          <w:szCs w:val="30"/>
        </w:rPr>
      </w:pPr>
      <w:r>
        <w:rPr>
          <w:rFonts w:hint="eastAsia" w:ascii="黑体" w:hAnsi="黑体" w:eastAsia="黑体" w:cs="黑体"/>
          <w:sz w:val="30"/>
          <w:szCs w:val="30"/>
        </w:rPr>
        <w:t>附件2</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汕头市中心城区非居民管道天然气</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价格联动机制起草说明</w:t>
      </w:r>
    </w:p>
    <w:p>
      <w:pPr>
        <w:pStyle w:val="8"/>
        <w:widowControl/>
        <w:spacing w:before="0" w:beforeAutospacing="0" w:after="0" w:afterAutospacing="0" w:line="600" w:lineRule="exact"/>
        <w:jc w:val="both"/>
        <w:rPr>
          <w:rFonts w:ascii="Times New Roman" w:hAnsi="Times New Roman" w:eastAsia="仿宋"/>
          <w:kern w:val="2"/>
          <w:sz w:val="30"/>
          <w:szCs w:val="30"/>
        </w:rPr>
      </w:pPr>
    </w:p>
    <w:p>
      <w:pPr>
        <w:pStyle w:val="8"/>
        <w:widowControl/>
        <w:spacing w:before="0" w:beforeAutospacing="0" w:after="0" w:afterAutospacing="0" w:line="600" w:lineRule="exact"/>
        <w:ind w:firstLine="640" w:firstLineChars="200"/>
        <w:jc w:val="both"/>
        <w:rPr>
          <w:rFonts w:ascii="Times New Roman" w:hAnsi="Times New Roman" w:eastAsia="黑体"/>
          <w:kern w:val="2"/>
          <w:sz w:val="32"/>
          <w:szCs w:val="32"/>
        </w:rPr>
      </w:pPr>
      <w:r>
        <w:rPr>
          <w:rFonts w:ascii="Times New Roman" w:hAnsi="Times New Roman" w:eastAsia="黑体"/>
          <w:kern w:val="2"/>
          <w:sz w:val="32"/>
          <w:szCs w:val="32"/>
        </w:rPr>
        <w:t>一、起草背景及过程</w:t>
      </w:r>
    </w:p>
    <w:p>
      <w:pPr>
        <w:pStyle w:val="8"/>
        <w:widowControl/>
        <w:spacing w:before="0" w:beforeAutospacing="0" w:after="0" w:afterAutospacing="0" w:line="600" w:lineRule="exact"/>
        <w:ind w:firstLine="640" w:firstLineChars="200"/>
        <w:jc w:val="both"/>
        <w:rPr>
          <w:rFonts w:ascii="Times New Roman" w:hAnsi="Times New Roman" w:eastAsia="仿宋_GB2312"/>
          <w:kern w:val="2"/>
          <w:sz w:val="32"/>
          <w:szCs w:val="32"/>
        </w:rPr>
      </w:pPr>
      <w:r>
        <w:rPr>
          <w:rFonts w:ascii="Times New Roman" w:hAnsi="Times New Roman" w:eastAsia="楷体_GB2312"/>
          <w:kern w:val="2"/>
          <w:sz w:val="32"/>
          <w:szCs w:val="32"/>
        </w:rPr>
        <w:t>（一）起草背景。</w:t>
      </w:r>
      <w:r>
        <w:rPr>
          <w:rFonts w:ascii="Times New Roman" w:hAnsi="Times New Roman" w:eastAsia="仿宋_GB2312"/>
          <w:kern w:val="2"/>
          <w:sz w:val="32"/>
          <w:szCs w:val="32"/>
        </w:rPr>
        <w:t>为贯彻落实国家和省关于推进天然气价格市场化改革的有关要求，进一步完善天然气价格形成机制，促进终端销售价格灵敏反映市场供需变化，维护企业和消费者合法权益，根据《广东省发展改革委关于印发&lt;广东省“十四五”时期深化价格机制改革实施方案&gt;的通知》(粤发改价格〔2021〕470号)、《广东省人民政府办公厅关于印发&lt;广东省定价目录（2022年版）&gt;的通知》（粤府办〔2022〕5号）《广东省发展改革委关于建立健全城镇管道天然气上下游价格联动机制的指导意见》（粤发改价格〔2023〕258号）和2024年价格重点工作任务要点等有关规定，尚未建立气价联动机制的市县，应按要求完成联动机制建立工作。全省21个地市中，有17个地市已建立联动机制，4个地市尚未建立联动机制（包括阳江市、湛江市、汕头市、中山市）。另外，根据最新政策要求，已建立联动机制的地市大部分需重新修订联动机制。</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需要说明的情况：</w:t>
      </w:r>
      <w:r>
        <w:rPr>
          <w:rFonts w:ascii="Times New Roman" w:hAnsi="Times New Roman" w:eastAsia="仿宋_GB2312"/>
          <w:sz w:val="32"/>
          <w:szCs w:val="32"/>
        </w:rPr>
        <w:t>2019年经市政府同意，市发展改革局制定的中心城区非居民配气价格规范性文件于2024年6月底届满。为了保障配气价格的延续性，市发展改革局于2024年7月初报经市政府同意延期</w:t>
      </w:r>
      <w:r>
        <w:rPr>
          <w:rFonts w:ascii="Times New Roman" w:hAnsi="Times New Roman" w:eastAsia="仿宋_GB2312"/>
          <w:sz w:val="32"/>
        </w:rPr>
        <w:t>中心城区</w:t>
      </w:r>
      <w:r>
        <w:rPr>
          <w:rFonts w:ascii="Times New Roman" w:hAnsi="Times New Roman" w:eastAsia="仿宋_GB2312"/>
          <w:sz w:val="32"/>
          <w:szCs w:val="32"/>
        </w:rPr>
        <w:t>现行非居民配气价格（</w:t>
      </w:r>
      <w:r>
        <w:rPr>
          <w:rFonts w:ascii="Times New Roman" w:hAnsi="Times New Roman" w:eastAsia="仿宋_GB2312"/>
          <w:sz w:val="32"/>
        </w:rPr>
        <w:t>非居民管道天然气配气价格每立方米1元</w:t>
      </w:r>
      <w:r>
        <w:rPr>
          <w:rFonts w:ascii="Times New Roman" w:hAnsi="Times New Roman" w:eastAsia="仿宋_GB2312"/>
          <w:sz w:val="32"/>
          <w:szCs w:val="32"/>
        </w:rPr>
        <w:t>），待我市长输气管道接通后，适时启动建立我市中心城区城道燃气价格调整与完善上下游价格联动机制程序，并重新核定配气价格。我市中心城区非居民管道天然气销售价格实行基准价管理，销售价格由气源价格和配气价格构成，计价方式为：销售价格=气源价格+配气价格。其中，气源价格按实核算确定，以年为核算周期。供求双方在销售价格的基础上上浮20%、下浮不限的范围内协商价格，协商后的销售价格已包含配气价格。</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目前，</w:t>
      </w:r>
      <w:r>
        <w:rPr>
          <w:rFonts w:ascii="Times New Roman" w:hAnsi="Times New Roman" w:eastAsia="仿宋_GB2312"/>
          <w:sz w:val="32"/>
          <w:szCs w:val="32"/>
        </w:rPr>
        <w:t>我市非居用户实行基准价格管理，实行动态联动调整，在气源价格发生一定幅度的变化时适时调整非居价格。经与省发展改革委多次沟通对接我市中心城区实际联动情况，省发展改革委认为，</w:t>
      </w:r>
      <w:r>
        <w:rPr>
          <w:rFonts w:hint="eastAsia" w:ascii="Times New Roman" w:hAnsi="Times New Roman" w:eastAsia="仿宋_GB2312"/>
          <w:sz w:val="32"/>
          <w:szCs w:val="32"/>
        </w:rPr>
        <w:t>虽然我市在实际的操作中根据</w:t>
      </w:r>
      <w:r>
        <w:rPr>
          <w:rFonts w:ascii="Times New Roman" w:hAnsi="Times New Roman" w:eastAsia="仿宋_GB2312"/>
          <w:sz w:val="32"/>
          <w:szCs w:val="32"/>
        </w:rPr>
        <w:t>天然气</w:t>
      </w:r>
      <w:r>
        <w:rPr>
          <w:rFonts w:hint="eastAsia" w:ascii="Times New Roman" w:hAnsi="Times New Roman" w:eastAsia="仿宋_GB2312"/>
          <w:sz w:val="32"/>
          <w:szCs w:val="32"/>
        </w:rPr>
        <w:t>采购</w:t>
      </w:r>
      <w:r>
        <w:rPr>
          <w:rFonts w:ascii="Times New Roman" w:hAnsi="Times New Roman" w:eastAsia="仿宋_GB2312"/>
          <w:sz w:val="32"/>
          <w:szCs w:val="32"/>
        </w:rPr>
        <w:t>价格</w:t>
      </w:r>
      <w:r>
        <w:rPr>
          <w:rFonts w:hint="eastAsia" w:ascii="Times New Roman" w:hAnsi="Times New Roman" w:eastAsia="仿宋_GB2312"/>
          <w:sz w:val="32"/>
          <w:szCs w:val="32"/>
        </w:rPr>
        <w:t>变化情况</w:t>
      </w:r>
      <w:r>
        <w:rPr>
          <w:rFonts w:ascii="Times New Roman" w:hAnsi="Times New Roman" w:eastAsia="仿宋_GB2312"/>
          <w:sz w:val="32"/>
          <w:szCs w:val="32"/>
        </w:rPr>
        <w:t>实行动态联动调整</w:t>
      </w:r>
      <w:r>
        <w:rPr>
          <w:rFonts w:hint="eastAsia" w:ascii="Times New Roman" w:hAnsi="Times New Roman" w:eastAsia="仿宋_GB2312"/>
          <w:sz w:val="32"/>
          <w:szCs w:val="32"/>
        </w:rPr>
        <w:t>，但没有出台相关机制，且</w:t>
      </w:r>
      <w:r>
        <w:rPr>
          <w:rFonts w:ascii="Times New Roman" w:hAnsi="Times New Roman" w:eastAsia="仿宋_GB2312"/>
          <w:sz w:val="32"/>
          <w:szCs w:val="32"/>
        </w:rPr>
        <w:t>我市长输气管道接通的时间未能确定，所以还是要建立非居民管道天然气价格联动机制。</w:t>
      </w:r>
    </w:p>
    <w:p>
      <w:pPr>
        <w:pStyle w:val="8"/>
        <w:widowControl/>
        <w:spacing w:before="0" w:beforeAutospacing="0" w:after="0" w:afterAutospacing="0" w:line="600" w:lineRule="exact"/>
        <w:ind w:firstLine="640" w:firstLineChars="200"/>
        <w:jc w:val="both"/>
        <w:rPr>
          <w:rFonts w:ascii="Times New Roman" w:hAnsi="Times New Roman" w:eastAsia="仿宋_GB2312"/>
          <w:kern w:val="2"/>
          <w:sz w:val="32"/>
          <w:szCs w:val="32"/>
        </w:rPr>
      </w:pPr>
      <w:r>
        <w:rPr>
          <w:rFonts w:ascii="Times New Roman" w:hAnsi="Times New Roman" w:eastAsia="楷体_GB2312"/>
          <w:kern w:val="2"/>
          <w:sz w:val="32"/>
          <w:szCs w:val="32"/>
        </w:rPr>
        <w:t>（二）制定过程。</w:t>
      </w:r>
      <w:r>
        <w:rPr>
          <w:rFonts w:ascii="Times New Roman" w:hAnsi="Times New Roman" w:eastAsia="仿宋_GB2312"/>
          <w:kern w:val="2"/>
          <w:sz w:val="32"/>
          <w:szCs w:val="32"/>
        </w:rPr>
        <w:t>结合我市实际，我局草拟了汕头市中心城区非居民管道天然气价格联动机制（下称《联动机制》），下来将通过书面征求市有关单位、相关区（县）发改局、燃气企业意见，并在局门户网站发布网上公开征求意见公告，组织召开工作座谈会，听取有关单位、燃气企业代表的意见和建议。按照制定价格程序进行法律审查、召开价审会、局长办公会议研究，上报市政府审定。</w:t>
      </w:r>
    </w:p>
    <w:p>
      <w:pPr>
        <w:pStyle w:val="8"/>
        <w:widowControl/>
        <w:spacing w:before="0" w:beforeAutospacing="0" w:after="0" w:afterAutospacing="0" w:line="600" w:lineRule="exact"/>
        <w:ind w:left="420" w:leftChars="200" w:firstLine="320" w:firstLineChars="100"/>
        <w:jc w:val="both"/>
        <w:rPr>
          <w:rFonts w:ascii="Times New Roman" w:hAnsi="Times New Roman" w:eastAsia="黑体"/>
          <w:kern w:val="2"/>
          <w:sz w:val="32"/>
          <w:szCs w:val="32"/>
        </w:rPr>
      </w:pPr>
      <w:r>
        <w:rPr>
          <w:rFonts w:hint="eastAsia" w:ascii="Times New Roman" w:hAnsi="Times New Roman" w:eastAsia="黑体"/>
          <w:kern w:val="2"/>
          <w:sz w:val="32"/>
          <w:szCs w:val="32"/>
        </w:rPr>
        <w:t>二、近年来我市用气价格情况</w:t>
      </w:r>
    </w:p>
    <w:p>
      <w:pPr>
        <w:widowControl/>
        <w:spacing w:line="60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前几年，因</w:t>
      </w:r>
      <w:r>
        <w:rPr>
          <w:rFonts w:ascii="Times New Roman" w:hAnsi="Times New Roman" w:eastAsia="仿宋_GB2312"/>
          <w:sz w:val="32"/>
          <w:szCs w:val="32"/>
        </w:rPr>
        <w:t>国际气源价格大幅上涨</w:t>
      </w:r>
      <w:r>
        <w:rPr>
          <w:rFonts w:hint="eastAsia" w:ascii="Times New Roman" w:hAnsi="Times New Roman" w:eastAsia="仿宋_GB2312"/>
          <w:sz w:val="32"/>
          <w:szCs w:val="32"/>
        </w:rPr>
        <w:t>，同时</w:t>
      </w:r>
      <w:r>
        <w:rPr>
          <w:rFonts w:ascii="Times New Roman" w:hAnsi="Times New Roman" w:eastAsia="仿宋_GB2312"/>
          <w:sz w:val="32"/>
          <w:szCs w:val="32"/>
        </w:rPr>
        <w:t>受</w:t>
      </w:r>
      <w:r>
        <w:rPr>
          <w:rFonts w:hint="eastAsia" w:ascii="Times New Roman" w:hAnsi="Times New Roman" w:eastAsia="仿宋_GB2312" w:cs="仿宋_GB2312"/>
          <w:sz w:val="32"/>
          <w:szCs w:val="32"/>
        </w:rPr>
        <w:t>“三桶油”</w:t>
      </w:r>
      <w:r>
        <w:rPr>
          <w:rFonts w:ascii="Times New Roman" w:hAnsi="Times New Roman" w:eastAsia="仿宋_GB2312"/>
          <w:sz w:val="32"/>
          <w:szCs w:val="32"/>
        </w:rPr>
        <w:t>划片区管理的规则限制，华润公司无法享受到华润燃气公司华南总部与中海油签订的长协合同优惠，导致目前</w:t>
      </w:r>
      <w:r>
        <w:rPr>
          <w:rFonts w:hint="eastAsia" w:ascii="Times New Roman" w:hAnsi="Times New Roman" w:eastAsia="仿宋_GB2312"/>
          <w:sz w:val="32"/>
          <w:szCs w:val="32"/>
        </w:rPr>
        <w:t>我</w:t>
      </w:r>
      <w:r>
        <w:rPr>
          <w:rFonts w:ascii="Times New Roman" w:hAnsi="Times New Roman" w:eastAsia="仿宋_GB2312"/>
          <w:sz w:val="32"/>
          <w:szCs w:val="32"/>
        </w:rPr>
        <w:t>市大部分气源只能采用临时协议价格，通过二级气源供应商从惠来LNG接收站购买，在气价上涨时无长协合同保障，价格受市场影响大</w:t>
      </w:r>
      <w:r>
        <w:rPr>
          <w:rFonts w:hint="eastAsia" w:ascii="Times New Roman" w:hAnsi="Times New Roman" w:eastAsia="仿宋_GB2312"/>
          <w:sz w:val="32"/>
          <w:szCs w:val="32"/>
        </w:rPr>
        <w:t>，</w:t>
      </w:r>
      <w:r>
        <w:rPr>
          <w:rFonts w:ascii="Times New Roman" w:hAnsi="Times New Roman" w:eastAsia="仿宋_GB2312"/>
          <w:sz w:val="32"/>
          <w:szCs w:val="32"/>
        </w:rPr>
        <w:t>特别是自202</w:t>
      </w:r>
      <w:r>
        <w:rPr>
          <w:rFonts w:hint="eastAsia" w:ascii="Times New Roman" w:hAnsi="Times New Roman" w:eastAsia="仿宋_GB2312"/>
          <w:sz w:val="32"/>
          <w:szCs w:val="32"/>
        </w:rPr>
        <w:t>2—2024</w:t>
      </w:r>
      <w:r>
        <w:rPr>
          <w:rFonts w:ascii="Times New Roman" w:hAnsi="Times New Roman" w:eastAsia="仿宋_GB2312"/>
          <w:sz w:val="32"/>
          <w:szCs w:val="32"/>
        </w:rPr>
        <w:t>年以来，全省非居民天然气价格持续上涨，我市2022年销售价格比2020年增长了近90%，增幅在全省最大</w:t>
      </w:r>
      <w:r>
        <w:rPr>
          <w:rFonts w:hint="eastAsia" w:ascii="Times New Roman" w:hAnsi="Times New Roman" w:eastAsia="仿宋_GB2312"/>
          <w:sz w:val="32"/>
          <w:szCs w:val="32"/>
        </w:rPr>
        <w:t>。</w:t>
      </w:r>
    </w:p>
    <w:p>
      <w:pPr>
        <w:widowControl/>
        <w:spacing w:line="600" w:lineRule="exact"/>
        <w:ind w:firstLine="640" w:firstLineChars="200"/>
        <w:jc w:val="left"/>
        <w:rPr>
          <w:rFonts w:ascii="Times New Roman" w:hAnsi="Times New Roman" w:eastAsia="楷体_GB2312" w:cs="楷体_GB2312"/>
          <w:sz w:val="32"/>
          <w:szCs w:val="32"/>
          <w:lang w:val="en"/>
        </w:rPr>
      </w:pPr>
      <w:r>
        <w:rPr>
          <w:rFonts w:hint="eastAsia" w:ascii="Times New Roman" w:hAnsi="Times New Roman" w:eastAsia="楷体_GB2312" w:cs="楷体_GB2312"/>
          <w:sz w:val="32"/>
          <w:szCs w:val="32"/>
        </w:rPr>
        <w:t>（一）</w:t>
      </w:r>
      <w:r>
        <w:rPr>
          <w:rFonts w:hint="eastAsia" w:ascii="Times New Roman" w:hAnsi="Times New Roman" w:eastAsia="仿宋_GB2312"/>
          <w:sz w:val="32"/>
          <w:szCs w:val="32"/>
        </w:rPr>
        <w:t>2024年</w:t>
      </w:r>
      <w:r>
        <w:rPr>
          <w:rFonts w:hint="eastAsia" w:ascii="Times New Roman" w:hAnsi="Times New Roman" w:eastAsia="楷体_GB2312" w:cs="楷体_GB2312"/>
          <w:sz w:val="32"/>
          <w:szCs w:val="32"/>
        </w:rPr>
        <w:t>我市与省内城市天然气价格情况对比</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以11月份调查</w:t>
      </w:r>
      <w:r>
        <w:rPr>
          <w:rFonts w:ascii="Times New Roman" w:hAnsi="Times New Roman" w:eastAsia="仿宋_GB2312"/>
          <w:sz w:val="32"/>
          <w:szCs w:val="32"/>
        </w:rPr>
        <w:t>数据</w:t>
      </w:r>
      <w:r>
        <w:rPr>
          <w:rFonts w:hint="eastAsia" w:ascii="Times New Roman" w:hAnsi="Times New Roman" w:eastAsia="仿宋_GB2312"/>
          <w:sz w:val="32"/>
          <w:szCs w:val="32"/>
        </w:rPr>
        <w:t>显示</w:t>
      </w:r>
      <w:r>
        <w:rPr>
          <w:rFonts w:ascii="Times New Roman" w:hAnsi="Times New Roman" w:eastAsia="仿宋_GB2312"/>
          <w:sz w:val="32"/>
          <w:szCs w:val="32"/>
        </w:rPr>
        <w:t>，对比珠三角和周边地市，我市工业天然气销售价格在</w:t>
      </w:r>
      <w:r>
        <w:rPr>
          <w:rFonts w:hint="eastAsia" w:ascii="Times New Roman" w:hAnsi="Times New Roman" w:eastAsia="仿宋_GB2312"/>
          <w:sz w:val="32"/>
          <w:szCs w:val="32"/>
        </w:rPr>
        <w:t>全省21</w:t>
      </w:r>
      <w:r>
        <w:rPr>
          <w:rFonts w:ascii="Times New Roman" w:hAnsi="Times New Roman" w:eastAsia="仿宋_GB2312"/>
          <w:sz w:val="32"/>
          <w:szCs w:val="32"/>
        </w:rPr>
        <w:t>个地市中属</w:t>
      </w:r>
      <w:r>
        <w:rPr>
          <w:rFonts w:hint="eastAsia" w:ascii="Times New Roman" w:hAnsi="Times New Roman" w:eastAsia="仿宋_GB2312"/>
          <w:sz w:val="32"/>
          <w:szCs w:val="32"/>
        </w:rPr>
        <w:t>较</w:t>
      </w:r>
      <w:r>
        <w:rPr>
          <w:rFonts w:ascii="Times New Roman" w:hAnsi="Times New Roman" w:eastAsia="仿宋_GB2312"/>
          <w:sz w:val="32"/>
          <w:szCs w:val="32"/>
        </w:rPr>
        <w:t>高位</w:t>
      </w:r>
      <w:r>
        <w:rPr>
          <w:rFonts w:hint="eastAsia" w:ascii="Times New Roman" w:hAnsi="Times New Roman" w:eastAsia="仿宋_GB2312"/>
          <w:sz w:val="32"/>
          <w:szCs w:val="32"/>
        </w:rPr>
        <w:t>，</w:t>
      </w:r>
      <w:r>
        <w:rPr>
          <w:rFonts w:ascii="Times New Roman" w:hAnsi="Times New Roman" w:eastAsia="仿宋_GB2312"/>
          <w:sz w:val="32"/>
          <w:szCs w:val="32"/>
        </w:rPr>
        <w:t>汕头地区平均非居销售价格在全省排第</w:t>
      </w:r>
      <w:r>
        <w:rPr>
          <w:rFonts w:hint="default" w:ascii="Times New Roman" w:hAnsi="Times New Roman" w:eastAsia="仿宋_GB2312"/>
          <w:sz w:val="32"/>
          <w:szCs w:val="32"/>
          <w:lang w:val="en-US"/>
        </w:rPr>
        <w:t>8</w:t>
      </w:r>
      <w:r>
        <w:rPr>
          <w:rFonts w:ascii="Times New Roman" w:hAnsi="Times New Roman" w:eastAsia="仿宋_GB2312"/>
          <w:sz w:val="32"/>
          <w:szCs w:val="32"/>
        </w:rPr>
        <w:t>名（价格排序从高</w:t>
      </w:r>
      <w:r>
        <w:rPr>
          <w:rFonts w:ascii="Times New Roman" w:hAnsi="Times New Roman" w:eastAsia="仿宋_GB2312"/>
          <w:sz w:val="32"/>
          <w:szCs w:val="32"/>
          <w:lang w:val="en-US"/>
        </w:rPr>
        <w:t>往</w:t>
      </w:r>
      <w:r>
        <w:rPr>
          <w:rFonts w:ascii="Times New Roman" w:hAnsi="Times New Roman" w:eastAsia="仿宋_GB2312"/>
          <w:sz w:val="32"/>
          <w:szCs w:val="32"/>
        </w:rPr>
        <w:t>低）</w:t>
      </w:r>
      <w:r>
        <w:rPr>
          <w:rFonts w:hint="eastAsia" w:ascii="Times New Roman" w:hAnsi="Times New Roman" w:eastAsia="仿宋_GB2312"/>
          <w:sz w:val="32"/>
          <w:szCs w:val="32"/>
        </w:rPr>
        <w:t>，</w:t>
      </w:r>
      <w:r>
        <w:rPr>
          <w:rFonts w:ascii="Times New Roman" w:hAnsi="Times New Roman" w:eastAsia="仿宋_GB2312"/>
          <w:sz w:val="32"/>
          <w:szCs w:val="32"/>
        </w:rPr>
        <w:t>我市工业天然气销售价格（</w:t>
      </w:r>
      <w:r>
        <w:rPr>
          <w:rFonts w:hint="eastAsia" w:ascii="Times New Roman" w:hAnsi="Times New Roman" w:eastAsia="仿宋_GB2312"/>
          <w:sz w:val="32"/>
          <w:szCs w:val="32"/>
        </w:rPr>
        <w:t>4.54</w:t>
      </w:r>
      <w:r>
        <w:rPr>
          <w:rFonts w:ascii="Times New Roman" w:hAnsi="Times New Roman" w:eastAsia="仿宋_GB2312"/>
          <w:sz w:val="32"/>
          <w:szCs w:val="32"/>
        </w:rPr>
        <w:t>元/m³）比广州</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东莞、</w:t>
      </w:r>
      <w:r>
        <w:rPr>
          <w:rFonts w:ascii="Times New Roman" w:hAnsi="Times New Roman" w:eastAsia="仿宋_GB2312"/>
          <w:sz w:val="32"/>
          <w:szCs w:val="32"/>
        </w:rPr>
        <w:t>湛江</w:t>
      </w:r>
      <w:r>
        <w:rPr>
          <w:rFonts w:hint="eastAsia" w:ascii="Times New Roman" w:hAnsi="Times New Roman" w:eastAsia="仿宋_GB2312"/>
          <w:sz w:val="32"/>
          <w:szCs w:val="32"/>
        </w:rPr>
        <w:t>、</w:t>
      </w:r>
      <w:r>
        <w:rPr>
          <w:rFonts w:ascii="Times New Roman" w:hAnsi="Times New Roman" w:eastAsia="仿宋_GB2312"/>
          <w:sz w:val="32"/>
          <w:szCs w:val="32"/>
        </w:rPr>
        <w:t>揭阳、潮州</w:t>
      </w:r>
      <w:r>
        <w:rPr>
          <w:rFonts w:hint="eastAsia" w:ascii="Times New Roman" w:hAnsi="Times New Roman" w:eastAsia="仿宋_GB2312"/>
          <w:sz w:val="32"/>
          <w:szCs w:val="32"/>
        </w:rPr>
        <w:t>等13市</w:t>
      </w:r>
      <w:r>
        <w:rPr>
          <w:rFonts w:ascii="Times New Roman" w:hAnsi="Times New Roman" w:eastAsia="仿宋_GB2312"/>
          <w:sz w:val="32"/>
          <w:szCs w:val="32"/>
        </w:rPr>
        <w:t>高</w:t>
      </w:r>
      <w:r>
        <w:rPr>
          <w:rFonts w:hint="eastAsia" w:ascii="Times New Roman" w:hAnsi="Times New Roman" w:eastAsia="仿宋_GB2312"/>
          <w:sz w:val="32"/>
          <w:szCs w:val="32"/>
        </w:rPr>
        <w:t>，比韶关、茂名、深圳、河源、</w:t>
      </w:r>
      <w:r>
        <w:rPr>
          <w:rFonts w:ascii="Times New Roman" w:hAnsi="Times New Roman" w:eastAsia="仿宋_GB2312"/>
          <w:sz w:val="32"/>
          <w:szCs w:val="32"/>
        </w:rPr>
        <w:t>汕尾</w:t>
      </w:r>
      <w:r>
        <w:rPr>
          <w:rFonts w:hint="eastAsia" w:ascii="Times New Roman" w:hAnsi="Times New Roman" w:eastAsia="仿宋_GB2312"/>
          <w:sz w:val="32"/>
          <w:szCs w:val="32"/>
        </w:rPr>
        <w:t>、云浮、梅州7市低</w:t>
      </w:r>
      <w:r>
        <w:rPr>
          <w:rFonts w:ascii="Times New Roman" w:hAnsi="Times New Roman" w:eastAsia="仿宋_GB2312"/>
          <w:sz w:val="32"/>
          <w:szCs w:val="32"/>
        </w:rPr>
        <w:t>。</w:t>
      </w:r>
    </w:p>
    <w:p>
      <w:pPr>
        <w:widowControl/>
        <w:spacing w:line="600" w:lineRule="exact"/>
        <w:ind w:firstLine="640" w:firstLineChars="200"/>
        <w:jc w:val="left"/>
        <w:rPr>
          <w:rFonts w:ascii="Times New Roman" w:hAnsi="Times New Roman" w:eastAsia="楷体_GB2312" w:cs="楷体_GB2312"/>
          <w:sz w:val="32"/>
          <w:szCs w:val="32"/>
          <w:lang w:val="en"/>
        </w:rPr>
      </w:pPr>
      <w:r>
        <w:rPr>
          <w:rFonts w:hint="eastAsia" w:ascii="Times New Roman" w:hAnsi="Times New Roman" w:eastAsia="楷体_GB2312" w:cs="楷体_GB2312"/>
          <w:sz w:val="32"/>
          <w:szCs w:val="32"/>
        </w:rPr>
        <w:t>（二）</w:t>
      </w:r>
      <w:r>
        <w:rPr>
          <w:rFonts w:hint="eastAsia" w:ascii="Times New Roman" w:hAnsi="Times New Roman" w:eastAsia="仿宋_GB2312"/>
          <w:sz w:val="32"/>
          <w:szCs w:val="32"/>
        </w:rPr>
        <w:t>2025年</w:t>
      </w:r>
      <w:r>
        <w:rPr>
          <w:rFonts w:hint="eastAsia" w:ascii="Times New Roman" w:hAnsi="Times New Roman" w:eastAsia="楷体_GB2312" w:cs="楷体_GB2312"/>
          <w:sz w:val="32"/>
          <w:szCs w:val="32"/>
        </w:rPr>
        <w:t>我市与省内城市天然气价格情况对比</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近年来，汕头市华润新奥燃气有限公司通过积极筹划多方资源，力争获取低成本气源，</w:t>
      </w:r>
      <w:bookmarkStart w:id="0" w:name="OLE_LINK7"/>
      <w:r>
        <w:rPr>
          <w:rFonts w:ascii="Times New Roman" w:hAnsi="Times New Roman" w:eastAsia="仿宋_GB2312"/>
          <w:sz w:val="32"/>
          <w:szCs w:val="32"/>
        </w:rPr>
        <w:t>采购成本得到优化</w:t>
      </w:r>
      <w:bookmarkEnd w:id="0"/>
      <w:r>
        <w:rPr>
          <w:rFonts w:hint="eastAsia" w:ascii="Times New Roman" w:hAnsi="Times New Roman" w:eastAsia="仿宋_GB2312"/>
          <w:sz w:val="32"/>
          <w:szCs w:val="32"/>
        </w:rPr>
        <w:t>，销售</w:t>
      </w:r>
      <w:r>
        <w:rPr>
          <w:rFonts w:ascii="Times New Roman" w:hAnsi="Times New Roman" w:eastAsia="仿宋_GB2312"/>
          <w:sz w:val="32"/>
          <w:szCs w:val="32"/>
        </w:rPr>
        <w:t>价格</w:t>
      </w:r>
      <w:r>
        <w:rPr>
          <w:rFonts w:hint="eastAsia" w:ascii="Times New Roman" w:hAnsi="Times New Roman" w:eastAsia="仿宋_GB2312"/>
          <w:sz w:val="32"/>
          <w:szCs w:val="32"/>
        </w:rPr>
        <w:t>逐步走低。以11月份调查</w:t>
      </w:r>
      <w:r>
        <w:rPr>
          <w:rFonts w:ascii="Times New Roman" w:hAnsi="Times New Roman" w:eastAsia="仿宋_GB2312"/>
          <w:sz w:val="32"/>
          <w:szCs w:val="32"/>
        </w:rPr>
        <w:t>数据</w:t>
      </w:r>
      <w:r>
        <w:rPr>
          <w:rFonts w:hint="eastAsia" w:ascii="Times New Roman" w:hAnsi="Times New Roman" w:eastAsia="仿宋_GB2312"/>
          <w:sz w:val="32"/>
          <w:szCs w:val="32"/>
        </w:rPr>
        <w:t>显示</w:t>
      </w:r>
      <w:r>
        <w:rPr>
          <w:rFonts w:ascii="Times New Roman" w:hAnsi="Times New Roman" w:eastAsia="仿宋_GB2312"/>
          <w:sz w:val="32"/>
          <w:szCs w:val="32"/>
        </w:rPr>
        <w:t>，对比珠三角和周边地市，我市工业天然气销售价格在</w:t>
      </w:r>
      <w:r>
        <w:rPr>
          <w:rFonts w:hint="eastAsia" w:ascii="Times New Roman" w:hAnsi="Times New Roman" w:eastAsia="仿宋_GB2312"/>
          <w:sz w:val="32"/>
          <w:szCs w:val="32"/>
        </w:rPr>
        <w:t>全省21</w:t>
      </w:r>
      <w:r>
        <w:rPr>
          <w:rFonts w:ascii="Times New Roman" w:hAnsi="Times New Roman" w:eastAsia="仿宋_GB2312"/>
          <w:sz w:val="32"/>
          <w:szCs w:val="32"/>
        </w:rPr>
        <w:t>个地市中属中等水平</w:t>
      </w:r>
      <w:r>
        <w:rPr>
          <w:rFonts w:hint="eastAsia" w:ascii="Times New Roman" w:hAnsi="Times New Roman" w:eastAsia="仿宋_GB2312"/>
          <w:sz w:val="32"/>
          <w:szCs w:val="32"/>
        </w:rPr>
        <w:t>，</w:t>
      </w:r>
      <w:r>
        <w:rPr>
          <w:rFonts w:ascii="Times New Roman" w:hAnsi="Times New Roman" w:eastAsia="仿宋_GB2312"/>
          <w:sz w:val="32"/>
          <w:szCs w:val="32"/>
        </w:rPr>
        <w:t>汕头地区平均非居销售价格在全省排第</w:t>
      </w:r>
      <w:r>
        <w:rPr>
          <w:rFonts w:hint="default" w:ascii="Times New Roman" w:hAnsi="Times New Roman" w:eastAsia="仿宋_GB2312"/>
          <w:sz w:val="32"/>
          <w:szCs w:val="32"/>
          <w:lang w:val="en-US"/>
        </w:rPr>
        <w:t>13</w:t>
      </w:r>
      <w:r>
        <w:rPr>
          <w:rFonts w:ascii="Times New Roman" w:hAnsi="Times New Roman" w:eastAsia="仿宋_GB2312"/>
          <w:sz w:val="32"/>
          <w:szCs w:val="32"/>
        </w:rPr>
        <w:t>名（价格排序从高往低）</w:t>
      </w:r>
      <w:r>
        <w:rPr>
          <w:rFonts w:hint="eastAsia" w:ascii="Times New Roman" w:hAnsi="Times New Roman" w:eastAsia="仿宋_GB2312"/>
          <w:sz w:val="32"/>
          <w:szCs w:val="32"/>
        </w:rPr>
        <w:t>，</w:t>
      </w:r>
      <w:r>
        <w:rPr>
          <w:rFonts w:ascii="Times New Roman" w:hAnsi="Times New Roman" w:eastAsia="仿宋_GB2312"/>
          <w:sz w:val="32"/>
          <w:szCs w:val="32"/>
        </w:rPr>
        <w:t>我市工业天然气销售价格（</w:t>
      </w:r>
      <w:r>
        <w:rPr>
          <w:rFonts w:hint="eastAsia" w:ascii="Times New Roman" w:hAnsi="Times New Roman" w:eastAsia="仿宋_GB2312"/>
          <w:sz w:val="32"/>
          <w:szCs w:val="32"/>
        </w:rPr>
        <w:t>4.27</w:t>
      </w:r>
      <w:r>
        <w:rPr>
          <w:rFonts w:ascii="Times New Roman" w:hAnsi="Times New Roman" w:eastAsia="仿宋_GB2312"/>
          <w:sz w:val="32"/>
          <w:szCs w:val="32"/>
        </w:rPr>
        <w:t>元/m³）比</w:t>
      </w:r>
      <w:r>
        <w:rPr>
          <w:rFonts w:hint="eastAsia" w:ascii="Times New Roman" w:hAnsi="Times New Roman" w:eastAsia="仿宋_GB2312"/>
          <w:sz w:val="32"/>
          <w:szCs w:val="32"/>
          <w:lang w:eastAsia="zh-CN"/>
        </w:rPr>
        <w:t>清远、</w:t>
      </w:r>
      <w:r>
        <w:rPr>
          <w:rFonts w:ascii="Times New Roman" w:hAnsi="Times New Roman" w:eastAsia="仿宋_GB2312"/>
          <w:sz w:val="32"/>
          <w:szCs w:val="32"/>
        </w:rPr>
        <w:t>佛山</w:t>
      </w:r>
      <w:r>
        <w:rPr>
          <w:rFonts w:hint="eastAsia" w:ascii="Times New Roman" w:hAnsi="Times New Roman" w:eastAsia="仿宋_GB2312"/>
          <w:sz w:val="32"/>
          <w:szCs w:val="32"/>
        </w:rPr>
        <w:t>、</w:t>
      </w:r>
      <w:r>
        <w:rPr>
          <w:rFonts w:ascii="Times New Roman" w:hAnsi="Times New Roman" w:eastAsia="仿宋_GB2312"/>
          <w:sz w:val="32"/>
          <w:szCs w:val="32"/>
        </w:rPr>
        <w:t>江门</w:t>
      </w:r>
      <w:r>
        <w:rPr>
          <w:rFonts w:hint="eastAsia" w:ascii="Times New Roman" w:hAnsi="Times New Roman" w:eastAsia="仿宋_GB2312"/>
          <w:sz w:val="32"/>
          <w:szCs w:val="32"/>
        </w:rPr>
        <w:t>、</w:t>
      </w:r>
      <w:r>
        <w:rPr>
          <w:rFonts w:ascii="Times New Roman" w:hAnsi="Times New Roman" w:eastAsia="仿宋_GB2312"/>
          <w:sz w:val="32"/>
          <w:szCs w:val="32"/>
        </w:rPr>
        <w:t>惠州</w:t>
      </w:r>
      <w:r>
        <w:rPr>
          <w:rFonts w:hint="eastAsia" w:ascii="Times New Roman" w:hAnsi="Times New Roman" w:eastAsia="仿宋_GB2312"/>
          <w:sz w:val="32"/>
          <w:szCs w:val="32"/>
        </w:rPr>
        <w:t>、</w:t>
      </w:r>
      <w:r>
        <w:rPr>
          <w:rFonts w:ascii="Times New Roman" w:hAnsi="Times New Roman" w:eastAsia="仿宋_GB2312"/>
          <w:sz w:val="32"/>
          <w:szCs w:val="32"/>
        </w:rPr>
        <w:t>潮州</w:t>
      </w:r>
      <w:r>
        <w:rPr>
          <w:rFonts w:hint="eastAsia" w:ascii="Times New Roman" w:hAnsi="Times New Roman" w:eastAsia="仿宋_GB2312"/>
          <w:sz w:val="32"/>
          <w:szCs w:val="32"/>
        </w:rPr>
        <w:t>市等8市</w:t>
      </w:r>
      <w:r>
        <w:rPr>
          <w:rFonts w:ascii="Times New Roman" w:hAnsi="Times New Roman" w:eastAsia="仿宋_GB2312"/>
          <w:sz w:val="32"/>
          <w:szCs w:val="32"/>
        </w:rPr>
        <w:t>高</w:t>
      </w:r>
      <w:r>
        <w:rPr>
          <w:rFonts w:hint="eastAsia" w:ascii="Times New Roman" w:hAnsi="Times New Roman" w:eastAsia="仿宋_GB2312"/>
          <w:sz w:val="32"/>
          <w:szCs w:val="32"/>
        </w:rPr>
        <w:t>，比广州、深圳、茂名、</w:t>
      </w:r>
      <w:r>
        <w:rPr>
          <w:rFonts w:ascii="Times New Roman" w:hAnsi="Times New Roman" w:eastAsia="仿宋_GB2312"/>
          <w:sz w:val="32"/>
          <w:szCs w:val="32"/>
        </w:rPr>
        <w:t>汕尾</w:t>
      </w:r>
      <w:r>
        <w:rPr>
          <w:rFonts w:hint="eastAsia" w:ascii="Times New Roman" w:hAnsi="Times New Roman" w:eastAsia="仿宋_GB2312"/>
          <w:sz w:val="32"/>
          <w:szCs w:val="32"/>
        </w:rPr>
        <w:t>、梅州市等12市低</w:t>
      </w:r>
      <w:r>
        <w:rPr>
          <w:rFonts w:ascii="Times New Roman" w:hAnsi="Times New Roman" w:eastAsia="仿宋_GB2312"/>
          <w:sz w:val="32"/>
          <w:szCs w:val="32"/>
        </w:rPr>
        <w:t>。</w:t>
      </w:r>
      <w:bookmarkStart w:id="1" w:name="_GoBack"/>
      <w:bookmarkEnd w:id="1"/>
    </w:p>
    <w:p>
      <w:pPr>
        <w:pStyle w:val="8"/>
        <w:widowControl/>
        <w:spacing w:before="0" w:beforeAutospacing="0" w:after="0" w:afterAutospacing="0" w:line="600" w:lineRule="exact"/>
        <w:ind w:left="420" w:leftChars="200" w:firstLine="320" w:firstLineChars="100"/>
        <w:jc w:val="both"/>
        <w:rPr>
          <w:rFonts w:ascii="Times New Roman" w:hAnsi="Times New Roman" w:eastAsia="黑体"/>
          <w:kern w:val="2"/>
          <w:sz w:val="32"/>
          <w:szCs w:val="32"/>
        </w:rPr>
      </w:pPr>
      <w:r>
        <w:rPr>
          <w:rFonts w:hint="eastAsia" w:ascii="Times New Roman" w:hAnsi="Times New Roman" w:eastAsia="黑体"/>
          <w:kern w:val="2"/>
          <w:sz w:val="32"/>
          <w:szCs w:val="32"/>
        </w:rPr>
        <w:t>三、制定机制的必要性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一是制定价格联动机制符合相关政策要求。</w:t>
      </w:r>
      <w:r>
        <w:rPr>
          <w:rFonts w:ascii="Times New Roman" w:hAnsi="Times New Roman" w:eastAsia="仿宋_GB2312"/>
          <w:sz w:val="32"/>
          <w:szCs w:val="32"/>
        </w:rPr>
        <w:t>《广东省发展改革委关于印发&lt;广东省“十四五”时期深化价格机制改革实施方案&gt;的通知》</w:t>
      </w:r>
      <w:r>
        <w:rPr>
          <w:rFonts w:hint="eastAsia" w:ascii="Times New Roman" w:hAnsi="Times New Roman" w:eastAsia="仿宋_GB2312"/>
          <w:sz w:val="32"/>
          <w:szCs w:val="32"/>
        </w:rPr>
        <w:t>（</w:t>
      </w:r>
      <w:r>
        <w:rPr>
          <w:rFonts w:ascii="Times New Roman" w:hAnsi="Times New Roman" w:eastAsia="仿宋_GB2312"/>
          <w:sz w:val="32"/>
          <w:szCs w:val="32"/>
        </w:rPr>
        <w:t>粤发改价格〔2021〕470号</w:t>
      </w:r>
      <w:r>
        <w:rPr>
          <w:rFonts w:hint="eastAsia" w:ascii="Times New Roman" w:hAnsi="Times New Roman" w:eastAsia="仿宋_GB2312"/>
          <w:sz w:val="32"/>
          <w:szCs w:val="32"/>
        </w:rPr>
        <w:t>）</w:t>
      </w:r>
      <w:r>
        <w:rPr>
          <w:rFonts w:ascii="Times New Roman" w:hAnsi="Times New Roman" w:eastAsia="仿宋_GB2312"/>
          <w:sz w:val="32"/>
          <w:szCs w:val="32"/>
        </w:rPr>
        <w:t>规定：“稳步推进天然气价格市场化改革。结合天然气建设运营机制和价格机制改革进程，完善终端销售价格与气源采购价格联动机制，探索推进终端非居民用户销售价格市场化</w:t>
      </w:r>
      <w:r>
        <w:rPr>
          <w:rFonts w:hint="eastAsia" w:ascii="Times New Roman" w:hAnsi="Times New Roman" w:eastAsia="仿宋_GB2312"/>
          <w:sz w:val="32"/>
          <w:szCs w:val="32"/>
        </w:rPr>
        <w:t>；《广东省发展改革委关于建立健全城镇管道天然气上下游价格联动机制的指导意见》（</w:t>
      </w:r>
      <w:r>
        <w:rPr>
          <w:rFonts w:ascii="Times New Roman" w:hAnsi="Times New Roman" w:eastAsia="仿宋_GB2312"/>
          <w:sz w:val="32"/>
          <w:szCs w:val="32"/>
        </w:rPr>
        <w:t>粤发改价格〔2023〕258号</w:t>
      </w:r>
      <w:r>
        <w:rPr>
          <w:rFonts w:hint="eastAsia" w:ascii="Times New Roman" w:hAnsi="Times New Roman" w:eastAsia="仿宋_GB2312"/>
          <w:sz w:val="32"/>
          <w:szCs w:val="32"/>
        </w:rPr>
        <w:t>）</w:t>
      </w:r>
      <w:r>
        <w:rPr>
          <w:rFonts w:ascii="Times New Roman" w:hAnsi="Times New Roman" w:eastAsia="仿宋_GB2312"/>
          <w:sz w:val="32"/>
          <w:szCs w:val="32"/>
        </w:rPr>
        <w:t>规定：“天然气上下游价格联动由各地按照价格管理权限实施。各地可综合考虑当地气源特点、用户结构和市场状况，合理设立实施联动的工作程序及具体操作细则，报当地政府同意后，可在规定调整金额或幅度内，由发展改革部门按机制调整销售价格，提高联动时效”</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二是避免因气源价格波动大而频繁调整销售价格。受国内外形势的影响，2021-2022年出现气源紧张、价格波动大、价格上涨速度快，我市中心城区2021年5-12月气源采购价格从3,490元/吨逐步上涨至8,000元/吨（5.79元</w:t>
      </w:r>
      <w:r>
        <w:rPr>
          <w:rFonts w:ascii="Times New Roman" w:hAnsi="Times New Roman" w:eastAsia="仿宋_GB2312"/>
          <w:sz w:val="32"/>
          <w:szCs w:val="32"/>
        </w:rPr>
        <w:t>/</w:t>
      </w:r>
      <w:r>
        <w:rPr>
          <w:rFonts w:ascii="Times New Roman" w:hAnsi="Times New Roman" w:eastAsia="微软雅黑"/>
          <w:spacing w:val="-6"/>
          <w:sz w:val="32"/>
          <w:szCs w:val="32"/>
        </w:rPr>
        <w:t>m³</w:t>
      </w:r>
      <w:r>
        <w:rPr>
          <w:rFonts w:hint="eastAsia" w:ascii="Times New Roman" w:hAnsi="Times New Roman" w:eastAsia="仿宋_GB2312"/>
          <w:sz w:val="32"/>
          <w:szCs w:val="32"/>
        </w:rPr>
        <w:t>），共计调整34次；2022年最高涨至9,600元/吨（7.04元</w:t>
      </w:r>
      <w:r>
        <w:rPr>
          <w:rFonts w:ascii="Times New Roman" w:hAnsi="Times New Roman" w:eastAsia="仿宋_GB2312"/>
          <w:sz w:val="32"/>
          <w:szCs w:val="32"/>
        </w:rPr>
        <w:t>/</w:t>
      </w:r>
      <w:r>
        <w:rPr>
          <w:rFonts w:ascii="Times New Roman" w:hAnsi="Times New Roman" w:eastAsia="微软雅黑"/>
          <w:spacing w:val="-6"/>
          <w:sz w:val="32"/>
          <w:szCs w:val="32"/>
        </w:rPr>
        <w:t>m³</w:t>
      </w:r>
      <w:r>
        <w:rPr>
          <w:rFonts w:hint="eastAsia" w:ascii="Times New Roman" w:hAnsi="Times New Roman" w:eastAsia="仿宋_GB2312"/>
          <w:sz w:val="32"/>
          <w:szCs w:val="32"/>
        </w:rPr>
        <w:t>），共计调整32次，全年平均仍维持在7,700元/吨（5.58元</w:t>
      </w:r>
      <w:r>
        <w:rPr>
          <w:rFonts w:ascii="Times New Roman" w:hAnsi="Times New Roman" w:eastAsia="仿宋_GB2312"/>
          <w:sz w:val="32"/>
          <w:szCs w:val="32"/>
        </w:rPr>
        <w:t>/</w:t>
      </w:r>
      <w:r>
        <w:rPr>
          <w:rFonts w:ascii="Times New Roman" w:hAnsi="Times New Roman" w:eastAsia="微软雅黑"/>
          <w:spacing w:val="-6"/>
          <w:sz w:val="32"/>
          <w:szCs w:val="32"/>
        </w:rPr>
        <w:t>m³</w:t>
      </w:r>
      <w:r>
        <w:rPr>
          <w:rFonts w:hint="eastAsia" w:ascii="Times New Roman" w:hAnsi="Times New Roman" w:eastAsia="仿宋_GB2312"/>
          <w:sz w:val="32"/>
          <w:szCs w:val="32"/>
        </w:rPr>
        <w:t>）的高位采购价格。2023年-2024年采购成本略有回落，</w:t>
      </w:r>
      <w:r>
        <w:rPr>
          <w:rFonts w:hint="eastAsia" w:ascii="Times New Roman" w:hAnsi="Times New Roman" w:eastAsia="仿宋_GB2312"/>
          <w:sz w:val="32"/>
          <w:szCs w:val="32"/>
          <w:lang w:eastAsia="zh-CN"/>
        </w:rPr>
        <w:t>但</w:t>
      </w:r>
      <w:r>
        <w:rPr>
          <w:rFonts w:hint="eastAsia" w:ascii="Times New Roman" w:hAnsi="Times New Roman" w:eastAsia="仿宋_GB2312"/>
          <w:sz w:val="32"/>
          <w:szCs w:val="32"/>
        </w:rPr>
        <w:t>采购均价仍</w:t>
      </w:r>
      <w:r>
        <w:rPr>
          <w:rFonts w:hint="eastAsia" w:ascii="Times New Roman" w:hAnsi="Times New Roman" w:eastAsia="仿宋_GB2312"/>
          <w:sz w:val="32"/>
          <w:szCs w:val="32"/>
          <w:lang w:eastAsia="zh-CN"/>
        </w:rPr>
        <w:t>保持在</w:t>
      </w:r>
      <w:r>
        <w:rPr>
          <w:rFonts w:hint="eastAsia" w:ascii="Times New Roman" w:hAnsi="Times New Roman" w:eastAsia="仿宋_GB2312"/>
          <w:sz w:val="32"/>
          <w:szCs w:val="32"/>
        </w:rPr>
        <w:t>5,244元/吨（3.8元</w:t>
      </w:r>
      <w:r>
        <w:rPr>
          <w:rFonts w:ascii="Times New Roman" w:hAnsi="Times New Roman" w:eastAsia="仿宋_GB2312"/>
          <w:sz w:val="32"/>
          <w:szCs w:val="32"/>
        </w:rPr>
        <w:t>/</w:t>
      </w:r>
      <w:r>
        <w:rPr>
          <w:rFonts w:ascii="Times New Roman" w:hAnsi="Times New Roman" w:eastAsia="微软雅黑"/>
          <w:spacing w:val="-6"/>
          <w:sz w:val="32"/>
          <w:szCs w:val="32"/>
        </w:rPr>
        <w:t>m³</w:t>
      </w:r>
      <w:r>
        <w:rPr>
          <w:rFonts w:hint="eastAsia" w:ascii="Times New Roman" w:hAnsi="Times New Roman" w:eastAsia="仿宋_GB2312"/>
          <w:sz w:val="32"/>
          <w:szCs w:val="32"/>
        </w:rPr>
        <w:t>）,整体气价成本仍处于高位，且呈现涨跌交替、变动频繁的情况</w:t>
      </w:r>
      <w:r>
        <w:rPr>
          <w:rFonts w:hint="eastAsia" w:ascii="Times New Roman" w:hAnsi="Times New Roman" w:eastAsia="仿宋_GB2312"/>
          <w:sz w:val="32"/>
          <w:szCs w:val="32"/>
          <w:lang w:eastAsia="zh-CN"/>
        </w:rPr>
        <w:t>，按照现行的管理模式，需要</w:t>
      </w:r>
      <w:r>
        <w:rPr>
          <w:rFonts w:ascii="Times New Roman" w:hAnsi="Times New Roman" w:eastAsia="仿宋_GB2312"/>
          <w:sz w:val="32"/>
          <w:szCs w:val="32"/>
        </w:rPr>
        <w:t>实行动态联动调整</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是有利于用气企业控制终端成本。近年来，因价格波动频繁、变动周期不稳定等原因，用气企业控制终端成本难，影响企业生产，出现用户改用其他替代能源或减产的情况。天然气作为清洁能源，其经济性逐步显现，但价格波动对居民生活和企业成本构成挑战，需建立长效调节机制，将</w:t>
      </w:r>
      <w:r>
        <w:rPr>
          <w:rFonts w:ascii="Times New Roman" w:hAnsi="Times New Roman" w:eastAsia="仿宋_GB2312"/>
          <w:sz w:val="32"/>
          <w:szCs w:val="32"/>
        </w:rPr>
        <w:t>终端销售价格与气源采购成本动态挂钩，确保企业合理收益</w:t>
      </w:r>
      <w:r>
        <w:rPr>
          <w:rFonts w:hint="eastAsia" w:ascii="Times New Roman" w:hAnsi="Times New Roman" w:eastAsia="仿宋_GB2312"/>
          <w:sz w:val="32"/>
          <w:szCs w:val="32"/>
        </w:rPr>
        <w:t>，</w:t>
      </w:r>
      <w:r>
        <w:rPr>
          <w:rFonts w:ascii="Times New Roman" w:hAnsi="Times New Roman" w:eastAsia="仿宋_GB2312"/>
          <w:sz w:val="32"/>
          <w:szCs w:val="32"/>
        </w:rPr>
        <w:t>预留统筹空间</w:t>
      </w:r>
      <w:r>
        <w:rPr>
          <w:rFonts w:hint="eastAsia" w:ascii="Times New Roman" w:hAnsi="Times New Roman" w:eastAsia="仿宋_GB2312"/>
          <w:sz w:val="32"/>
          <w:szCs w:val="32"/>
        </w:rPr>
        <w:t>。同时减少对用户的短期冲击，建立联动机制促进资源合理利用，保障天然气供应安全，实现供需平衡。</w:t>
      </w:r>
    </w:p>
    <w:p>
      <w:pPr>
        <w:pStyle w:val="8"/>
        <w:widowControl/>
        <w:spacing w:before="0" w:beforeAutospacing="0" w:after="0" w:afterAutospacing="0" w:line="600" w:lineRule="exact"/>
        <w:ind w:left="420" w:leftChars="200" w:firstLine="320" w:firstLineChars="100"/>
        <w:jc w:val="both"/>
        <w:rPr>
          <w:rFonts w:ascii="Times New Roman" w:hAnsi="Times New Roman" w:eastAsia="黑体"/>
          <w:kern w:val="2"/>
          <w:sz w:val="32"/>
          <w:szCs w:val="32"/>
        </w:rPr>
      </w:pPr>
      <w:r>
        <w:rPr>
          <w:rFonts w:hint="eastAsia" w:ascii="Times New Roman" w:hAnsi="Times New Roman" w:eastAsia="黑体"/>
          <w:kern w:val="2"/>
          <w:sz w:val="32"/>
          <w:szCs w:val="32"/>
        </w:rPr>
        <w:t>四</w:t>
      </w:r>
      <w:r>
        <w:rPr>
          <w:rFonts w:ascii="Times New Roman" w:hAnsi="Times New Roman" w:eastAsia="黑体"/>
          <w:kern w:val="2"/>
          <w:sz w:val="32"/>
          <w:szCs w:val="32"/>
        </w:rPr>
        <w:t>、</w:t>
      </w:r>
      <w:r>
        <w:rPr>
          <w:rFonts w:hint="eastAsia" w:ascii="Times New Roman" w:hAnsi="Times New Roman" w:eastAsia="黑体"/>
          <w:kern w:val="2"/>
          <w:sz w:val="32"/>
          <w:szCs w:val="32"/>
        </w:rPr>
        <w:t>主要</w:t>
      </w:r>
      <w:r>
        <w:rPr>
          <w:rFonts w:ascii="Times New Roman" w:hAnsi="Times New Roman" w:eastAsia="黑体"/>
          <w:kern w:val="2"/>
          <w:sz w:val="32"/>
          <w:szCs w:val="32"/>
        </w:rPr>
        <w:t>政策</w:t>
      </w:r>
      <w:r>
        <w:rPr>
          <w:rFonts w:hint="eastAsia" w:ascii="Times New Roman" w:hAnsi="Times New Roman" w:eastAsia="黑体"/>
          <w:kern w:val="2"/>
          <w:sz w:val="32"/>
          <w:szCs w:val="32"/>
        </w:rPr>
        <w:t>依据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（一）《广东省发展改革委关于印发&lt;广东省“十四五”时期深化价格机制改革实施方案&gt;的通知》</w:t>
      </w:r>
      <w:r>
        <w:rPr>
          <w:rFonts w:hint="eastAsia" w:ascii="Times New Roman" w:hAnsi="Times New Roman" w:eastAsia="仿宋_GB2312"/>
          <w:sz w:val="32"/>
          <w:szCs w:val="32"/>
        </w:rPr>
        <w:t>（</w:t>
      </w:r>
      <w:r>
        <w:rPr>
          <w:rFonts w:ascii="Times New Roman" w:hAnsi="Times New Roman" w:eastAsia="仿宋_GB2312"/>
          <w:sz w:val="32"/>
          <w:szCs w:val="32"/>
        </w:rPr>
        <w:t>粤发改价格〔2021〕470号</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《广东省发展改革委关于建立健全城镇管道天然气上下游价格联动机制的指导意见》（</w:t>
      </w:r>
      <w:r>
        <w:rPr>
          <w:rFonts w:ascii="Times New Roman" w:hAnsi="Times New Roman" w:eastAsia="仿宋_GB2312"/>
          <w:sz w:val="32"/>
          <w:szCs w:val="32"/>
        </w:rPr>
        <w:t>粤发改价格〔2023〕258号</w:t>
      </w:r>
      <w:r>
        <w:rPr>
          <w:rFonts w:hint="eastAsia" w:ascii="Times New Roman" w:hAnsi="Times New Roman" w:eastAsia="仿宋_GB2312"/>
          <w:sz w:val="32"/>
          <w:szCs w:val="32"/>
        </w:rPr>
        <w:t>）。</w:t>
      </w:r>
    </w:p>
    <w:p>
      <w:pPr>
        <w:pStyle w:val="8"/>
        <w:widowControl/>
        <w:spacing w:before="0" w:beforeAutospacing="0" w:after="0" w:afterAutospacing="0" w:line="600" w:lineRule="exact"/>
        <w:ind w:firstLine="640" w:firstLineChars="200"/>
        <w:jc w:val="both"/>
        <w:rPr>
          <w:rFonts w:ascii="Times New Roman" w:hAnsi="Times New Roman" w:eastAsia="黑体"/>
          <w:kern w:val="2"/>
          <w:sz w:val="32"/>
          <w:szCs w:val="32"/>
        </w:rPr>
      </w:pPr>
      <w:r>
        <w:rPr>
          <w:rFonts w:hint="eastAsia" w:ascii="Times New Roman" w:hAnsi="Times New Roman" w:eastAsia="黑体"/>
          <w:kern w:val="2"/>
          <w:sz w:val="32"/>
          <w:szCs w:val="32"/>
        </w:rPr>
        <w:t>五</w:t>
      </w:r>
      <w:r>
        <w:rPr>
          <w:rFonts w:ascii="Times New Roman" w:hAnsi="Times New Roman" w:eastAsia="黑体"/>
          <w:kern w:val="2"/>
          <w:sz w:val="32"/>
          <w:szCs w:val="32"/>
        </w:rPr>
        <w:t>、机制主要内容</w:t>
      </w:r>
    </w:p>
    <w:p>
      <w:pPr>
        <w:pStyle w:val="8"/>
        <w:widowControl/>
        <w:spacing w:before="0" w:beforeAutospacing="0" w:after="0" w:afterAutospacing="0" w:line="60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该机制在粤发改价格〔2023〕258号的基础上，借鉴其周边市已有机制的工作经验，结合汕头实际情况进行了优化完善。主要有：</w:t>
      </w:r>
    </w:p>
    <w:p>
      <w:pPr>
        <w:widowControl/>
        <w:numPr>
          <w:ilvl w:val="0"/>
          <w:numId w:val="1"/>
        </w:numPr>
        <w:spacing w:line="600" w:lineRule="exact"/>
        <w:ind w:firstLine="640"/>
        <w:rPr>
          <w:rFonts w:ascii="Times New Roman" w:hAnsi="Times New Roman" w:eastAsia="楷体_GB2312"/>
          <w:sz w:val="32"/>
          <w:szCs w:val="32"/>
        </w:rPr>
      </w:pPr>
      <w:r>
        <w:rPr>
          <w:rFonts w:ascii="Times New Roman" w:hAnsi="Times New Roman" w:eastAsia="楷体_GB2312"/>
          <w:sz w:val="32"/>
          <w:szCs w:val="32"/>
        </w:rPr>
        <w:t>实施范围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本次建立的联动机制的范围为龙湖区、金平区、濠江区范围内非居民管道天然气终端销售价格。主要考虑：1.根据《广东省发展改革委城镇管道燃气价格管理办法》第六条规定：“城镇管道燃气价格授权市、县人民政府制定和调整，市管所辖城区及跨县（市）的城镇管道燃气价格，县管辖区内的城镇管道燃气价格。若整个地级以上市辖区内均由同一个管道燃气经营企业经营，则由地级以上市统一制定管道燃气价格”。目前汕头市中心城区（金平区、龙湖区、濠江区）由汕头市华润新奥燃气公司统一经营，目前已建成市政燃气管线640多公里，低压燃气管线460多公里，与潮阳、潮南区取得特许经营权的公司系同一控股方，有利于后期形成供气“一张网”，且华润燃气的气源采购业务是由汕头区域调度中心统一采购、统一调度、统一与上游结算。因此，由华润燃气供应的汕头市中心城区城镇管道天然气销售价格机制由市统一制定。 </w:t>
      </w:r>
    </w:p>
    <w:p>
      <w:pPr>
        <w:widowControl/>
        <w:numPr>
          <w:ilvl w:val="0"/>
          <w:numId w:val="1"/>
        </w:numPr>
        <w:spacing w:line="600" w:lineRule="exact"/>
        <w:ind w:firstLine="640"/>
        <w:rPr>
          <w:rFonts w:ascii="Times New Roman" w:hAnsi="Times New Roman" w:eastAsia="楷体_GB2312"/>
          <w:sz w:val="32"/>
          <w:szCs w:val="32"/>
        </w:rPr>
      </w:pPr>
      <w:r>
        <w:rPr>
          <w:rFonts w:ascii="Times New Roman" w:hAnsi="Times New Roman" w:eastAsia="楷体_GB2312"/>
          <w:sz w:val="32"/>
          <w:szCs w:val="32"/>
        </w:rPr>
        <w:t>联动公式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市联动公式与粤发改价格〔2023〕258号文的联动公式基本一致，优化的地方主要是：考虑我市非居民天然气价格实行基准价格管理，双方协商定价，本次建立非居民天然气价格联动机制，可结合我市实际，采用基准价格联动。</w:t>
      </w:r>
    </w:p>
    <w:p>
      <w:pPr>
        <w:widowControl/>
        <w:numPr>
          <w:ilvl w:val="0"/>
          <w:numId w:val="1"/>
        </w:numPr>
        <w:spacing w:line="600" w:lineRule="exact"/>
        <w:ind w:firstLine="640"/>
        <w:rPr>
          <w:rFonts w:ascii="Times New Roman" w:hAnsi="Times New Roman" w:eastAsia="楷体_GB2312"/>
          <w:sz w:val="32"/>
          <w:szCs w:val="32"/>
        </w:rPr>
      </w:pPr>
      <w:r>
        <w:rPr>
          <w:rFonts w:ascii="Times New Roman" w:hAnsi="Times New Roman" w:eastAsia="楷体_GB2312"/>
          <w:sz w:val="32"/>
          <w:szCs w:val="32"/>
        </w:rPr>
        <w:t>联动周期和启动条件</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1.联动周期：非居民管道天然气原则上以90天为一个联动实施周期。</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w:t>
      </w:r>
      <w:r>
        <w:rPr>
          <w:rFonts w:hint="eastAsia" w:ascii="Times New Roman" w:hAnsi="Times New Roman" w:eastAsia="仿宋_GB2312"/>
          <w:sz w:val="32"/>
          <w:szCs w:val="32"/>
        </w:rPr>
        <w:t>（</w:t>
      </w:r>
      <w:r>
        <w:rPr>
          <w:rFonts w:ascii="Times New Roman" w:hAnsi="Times New Roman" w:eastAsia="仿宋_GB2312"/>
          <w:sz w:val="32"/>
          <w:szCs w:val="32"/>
        </w:rPr>
        <w:t>粤发改价格〔2023〕258号</w:t>
      </w:r>
      <w:r>
        <w:rPr>
          <w:rFonts w:hint="eastAsia" w:ascii="Times New Roman" w:hAnsi="Times New Roman" w:eastAsia="仿宋_GB2312"/>
          <w:sz w:val="32"/>
          <w:szCs w:val="32"/>
        </w:rPr>
        <w:t>）</w:t>
      </w:r>
      <w:r>
        <w:rPr>
          <w:rFonts w:ascii="Times New Roman" w:hAnsi="Times New Roman" w:eastAsia="仿宋_GB2312"/>
          <w:sz w:val="32"/>
          <w:szCs w:val="32"/>
        </w:rPr>
        <w:t>要求，非居民用气终端销售价格可按月、季度或半年联动。建议以90天为一个联动实施周期。主要考虑：联动周期过短、调价过于频繁不利于企业提前安排生产销售和制定发展计划，大部分企业倾向于稳定气价，现在整体天然气采购价格趋于稳中下降趋势，若过长的周期不利于企业降低用气成本。经调研，潮州市、深圳市、梅州兴宁市联动周期90天，广州市、惠州市、江门市、揭阳市联动周期为6个月。根据终端企业需求，结合汕头市区的实际情况及与汕头市区接壤的潮州市的联动机制，联动周期定为90天较合理。</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启动条件：当前周期结束时，如果下一个周期非居民管道天然气综合采购价格相比上一周期基期价格上下浮动幅度达到或超过5%以上（含5%）时，实行价格联动，终端销售价格同向调整；未达到5%的，价格不联动，即当前周期终端销售价格继续沿用。主要考虑：省内已建立联动机制的地市设置幅度主要在3%-8%，其中清远设3%、广州、佛山设4%，深圳、惠州、江门设5%，珠海、茂名设8% 。考虑设置3%的幅度较低，8%较高，建议设置5%较为合适。</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联动机制举例如下：</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a.某企业2025年</w:t>
      </w:r>
      <w:r>
        <w:rPr>
          <w:rFonts w:hint="eastAsia" w:ascii="Times New Roman" w:hAnsi="Times New Roman" w:eastAsia="仿宋_GB2312"/>
          <w:sz w:val="32"/>
          <w:szCs w:val="32"/>
        </w:rPr>
        <w:t>12月</w:t>
      </w:r>
      <w:r>
        <w:rPr>
          <w:rFonts w:ascii="Times New Roman" w:hAnsi="Times New Roman" w:eastAsia="仿宋_GB2312"/>
          <w:sz w:val="32"/>
          <w:szCs w:val="32"/>
        </w:rPr>
        <w:t>采购成本</w:t>
      </w:r>
      <w:r>
        <w:rPr>
          <w:rFonts w:hint="eastAsia" w:ascii="Times New Roman" w:hAnsi="Times New Roman" w:eastAsia="仿宋_GB2312"/>
          <w:sz w:val="32"/>
          <w:szCs w:val="32"/>
        </w:rPr>
        <w:t>为</w:t>
      </w:r>
      <w:r>
        <w:rPr>
          <w:rFonts w:ascii="Times New Roman" w:hAnsi="Times New Roman" w:eastAsia="仿宋_GB2312"/>
          <w:sz w:val="32"/>
          <w:szCs w:val="32"/>
        </w:rPr>
        <w:t>3.5元/m³，现行非居民管道天然气基准销售价格</w:t>
      </w:r>
      <w:r>
        <w:rPr>
          <w:rFonts w:hint="eastAsia" w:ascii="Times New Roman" w:hAnsi="Times New Roman" w:eastAsia="仿宋_GB2312"/>
          <w:sz w:val="32"/>
          <w:szCs w:val="32"/>
        </w:rPr>
        <w:t>则</w:t>
      </w:r>
      <w:r>
        <w:rPr>
          <w:rFonts w:ascii="Times New Roman" w:hAnsi="Times New Roman" w:eastAsia="仿宋_GB2312"/>
          <w:sz w:val="32"/>
          <w:szCs w:val="32"/>
        </w:rPr>
        <w:t>=3.5+1=4.5元/m³；</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b.某企业2026年3月</w:t>
      </w:r>
      <w:r>
        <w:rPr>
          <w:rFonts w:hint="eastAsia" w:ascii="Times New Roman" w:hAnsi="Times New Roman" w:eastAsia="仿宋_GB2312"/>
          <w:sz w:val="32"/>
          <w:szCs w:val="32"/>
        </w:rPr>
        <w:t>（一个监管周期）</w:t>
      </w:r>
      <w:r>
        <w:rPr>
          <w:rFonts w:ascii="Times New Roman" w:hAnsi="Times New Roman" w:eastAsia="仿宋_GB2312"/>
          <w:sz w:val="32"/>
          <w:szCs w:val="32"/>
        </w:rPr>
        <w:t>，若采购成本较3.5元/m³</w:t>
      </w:r>
      <w:r>
        <w:rPr>
          <w:rFonts w:hint="eastAsia" w:ascii="Times New Roman" w:hAnsi="Times New Roman" w:eastAsia="仿宋_GB2312"/>
          <w:sz w:val="32"/>
          <w:szCs w:val="32"/>
        </w:rPr>
        <w:t>上下浮动</w:t>
      </w:r>
      <w:r>
        <w:rPr>
          <w:rFonts w:ascii="Times New Roman" w:hAnsi="Times New Roman" w:eastAsia="仿宋_GB2312"/>
          <w:sz w:val="32"/>
          <w:szCs w:val="32"/>
        </w:rPr>
        <w:t>幅度小于5%，则不调整，若采购成本</w:t>
      </w:r>
      <w:r>
        <w:rPr>
          <w:rFonts w:hint="eastAsia" w:ascii="Times New Roman" w:hAnsi="Times New Roman" w:eastAsia="仿宋_GB2312"/>
          <w:sz w:val="32"/>
          <w:szCs w:val="32"/>
        </w:rPr>
        <w:t>上下浮动</w:t>
      </w:r>
      <w:r>
        <w:rPr>
          <w:rFonts w:ascii="Times New Roman" w:hAnsi="Times New Roman" w:eastAsia="仿宋_GB2312"/>
          <w:sz w:val="32"/>
          <w:szCs w:val="32"/>
        </w:rPr>
        <w:t>幅度</w:t>
      </w:r>
      <w:r>
        <w:rPr>
          <w:rFonts w:hint="eastAsia" w:ascii="Times New Roman" w:hAnsi="Times New Roman" w:eastAsia="仿宋_GB2312"/>
          <w:sz w:val="32"/>
          <w:szCs w:val="32"/>
        </w:rPr>
        <w:t>达到或超过5</w:t>
      </w:r>
      <w:r>
        <w:rPr>
          <w:rFonts w:ascii="Times New Roman" w:hAnsi="Times New Roman" w:eastAsia="仿宋_GB2312"/>
          <w:sz w:val="32"/>
          <w:szCs w:val="32"/>
        </w:rPr>
        <w:t>%，则启动联动调整机制（详见表格）。</w:t>
      </w:r>
    </w:p>
    <w:tbl>
      <w:tblPr>
        <w:tblStyle w:val="10"/>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983"/>
        <w:gridCol w:w="990"/>
        <w:gridCol w:w="1160"/>
        <w:gridCol w:w="25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70" w:type="dxa"/>
            <w:gridSpan w:val="6"/>
            <w:tcBorders>
              <w:top w:val="nil"/>
              <w:left w:val="nil"/>
              <w:right w:val="nil"/>
            </w:tcBorders>
            <w:vAlign w:val="center"/>
          </w:tcPr>
          <w:p>
            <w:pPr>
              <w:jc w:val="right"/>
              <w:rPr>
                <w:rFonts w:ascii="Times New Roman" w:hAnsi="Times New Roman" w:eastAsia="仿宋_GB2312"/>
                <w:sz w:val="18"/>
                <w:szCs w:val="18"/>
              </w:rPr>
            </w:pPr>
            <w:r>
              <w:rPr>
                <w:rFonts w:hint="eastAsia" w:ascii="Times New Roman" w:hAnsi="Times New Roman" w:eastAsia="仿宋_GB2312"/>
                <w:sz w:val="24"/>
              </w:rPr>
              <w:t>单位：</w:t>
            </w:r>
            <w:r>
              <w:rPr>
                <w:rFonts w:ascii="Times New Roman" w:hAnsi="Times New Roman" w:eastAsia="仿宋_GB2312"/>
                <w:sz w:val="24"/>
              </w:rPr>
              <w:t>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57"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假设调整期成本单价</w:t>
            </w:r>
          </w:p>
        </w:tc>
        <w:tc>
          <w:tcPr>
            <w:tcW w:w="983"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成本变动幅度</w:t>
            </w:r>
          </w:p>
        </w:tc>
        <w:tc>
          <w:tcPr>
            <w:tcW w:w="990"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是否启动调整</w:t>
            </w:r>
          </w:p>
        </w:tc>
        <w:tc>
          <w:tcPr>
            <w:tcW w:w="1160"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假定供销差</w:t>
            </w:r>
          </w:p>
        </w:tc>
        <w:tc>
          <w:tcPr>
            <w:tcW w:w="2580"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联动调整额</w:t>
            </w:r>
          </w:p>
        </w:tc>
        <w:tc>
          <w:tcPr>
            <w:tcW w:w="1800" w:type="dxa"/>
            <w:vAlign w:val="center"/>
          </w:tcPr>
          <w:p>
            <w:pPr>
              <w:jc w:val="center"/>
              <w:rPr>
                <w:rFonts w:ascii="Times New Roman" w:hAnsi="Times New Roman" w:eastAsia="仿宋_GB2312"/>
                <w:sz w:val="18"/>
                <w:szCs w:val="18"/>
              </w:rPr>
            </w:pPr>
            <w:r>
              <w:rPr>
                <w:rFonts w:ascii="Times New Roman" w:hAnsi="Times New Roman" w:eastAsia="仿宋_GB2312"/>
                <w:sz w:val="18"/>
                <w:szCs w:val="18"/>
              </w:rPr>
              <w:t>调整后基准</w:t>
            </w:r>
          </w:p>
          <w:p>
            <w:pPr>
              <w:jc w:val="center"/>
              <w:rPr>
                <w:rFonts w:ascii="Times New Roman" w:hAnsi="Times New Roman" w:eastAsia="仿宋_GB2312"/>
                <w:sz w:val="18"/>
                <w:szCs w:val="18"/>
              </w:rPr>
            </w:pPr>
            <w:r>
              <w:rPr>
                <w:rFonts w:ascii="Times New Roman" w:hAnsi="Times New Roman" w:eastAsia="仿宋_GB2312"/>
                <w:sz w:val="18"/>
                <w:szCs w:val="18"/>
              </w:rPr>
              <w:t>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57" w:type="dxa"/>
            <w:vAlign w:val="center"/>
          </w:tcPr>
          <w:p>
            <w:pPr>
              <w:jc w:val="center"/>
              <w:rPr>
                <w:rFonts w:ascii="Times New Roman" w:hAnsi="Times New Roman" w:eastAsia="仿宋_GB2312"/>
                <w:sz w:val="18"/>
                <w:szCs w:val="18"/>
              </w:rPr>
            </w:pPr>
            <w:r>
              <w:rPr>
                <w:rFonts w:ascii="Times New Roman" w:hAnsi="Times New Roman" w:eastAsia="仿宋_GB2312"/>
                <w:szCs w:val="21"/>
              </w:rPr>
              <w:t>3.4</w:t>
            </w:r>
          </w:p>
        </w:tc>
        <w:tc>
          <w:tcPr>
            <w:tcW w:w="983" w:type="dxa"/>
            <w:vAlign w:val="center"/>
          </w:tcPr>
          <w:p>
            <w:pPr>
              <w:jc w:val="center"/>
              <w:rPr>
                <w:rFonts w:ascii="Times New Roman" w:hAnsi="Times New Roman" w:eastAsia="仿宋_GB2312"/>
                <w:sz w:val="18"/>
                <w:szCs w:val="18"/>
              </w:rPr>
            </w:pPr>
            <w:r>
              <w:rPr>
                <w:rFonts w:ascii="Times New Roman" w:hAnsi="Times New Roman" w:eastAsia="仿宋_GB2312"/>
                <w:szCs w:val="21"/>
              </w:rPr>
              <w:t>-2.8%</w:t>
            </w:r>
          </w:p>
        </w:tc>
        <w:tc>
          <w:tcPr>
            <w:tcW w:w="990" w:type="dxa"/>
            <w:vAlign w:val="center"/>
          </w:tcPr>
          <w:p>
            <w:pPr>
              <w:jc w:val="center"/>
              <w:rPr>
                <w:rFonts w:ascii="Times New Roman" w:hAnsi="Times New Roman" w:eastAsia="仿宋_GB2312"/>
                <w:sz w:val="18"/>
                <w:szCs w:val="18"/>
              </w:rPr>
            </w:pPr>
            <w:r>
              <w:rPr>
                <w:rFonts w:ascii="Times New Roman" w:hAnsi="Times New Roman" w:eastAsia="仿宋_GB2312"/>
                <w:szCs w:val="21"/>
              </w:rPr>
              <w:t>否</w:t>
            </w:r>
          </w:p>
        </w:tc>
        <w:tc>
          <w:tcPr>
            <w:tcW w:w="1160" w:type="dxa"/>
            <w:vAlign w:val="center"/>
          </w:tcPr>
          <w:p>
            <w:pPr>
              <w:jc w:val="center"/>
              <w:rPr>
                <w:rFonts w:ascii="Times New Roman" w:hAnsi="Times New Roman" w:eastAsia="仿宋_GB2312"/>
                <w:sz w:val="18"/>
                <w:szCs w:val="18"/>
              </w:rPr>
            </w:pPr>
            <w:r>
              <w:rPr>
                <w:rFonts w:ascii="Times New Roman" w:hAnsi="Times New Roman" w:eastAsia="仿宋_GB2312"/>
                <w:szCs w:val="21"/>
              </w:rPr>
              <w:t>—</w:t>
            </w:r>
          </w:p>
        </w:tc>
        <w:tc>
          <w:tcPr>
            <w:tcW w:w="2580" w:type="dxa"/>
            <w:vAlign w:val="center"/>
          </w:tcPr>
          <w:p>
            <w:pPr>
              <w:jc w:val="center"/>
              <w:rPr>
                <w:rFonts w:ascii="Times New Roman" w:hAnsi="Times New Roman" w:eastAsia="仿宋_GB2312"/>
                <w:sz w:val="18"/>
                <w:szCs w:val="18"/>
              </w:rPr>
            </w:pPr>
            <w:r>
              <w:rPr>
                <w:rFonts w:ascii="Times New Roman" w:hAnsi="Times New Roman" w:eastAsia="仿宋_GB2312"/>
                <w:szCs w:val="21"/>
              </w:rPr>
              <w:t>—</w:t>
            </w:r>
          </w:p>
        </w:tc>
        <w:tc>
          <w:tcPr>
            <w:tcW w:w="1800" w:type="dxa"/>
            <w:vAlign w:val="center"/>
          </w:tcPr>
          <w:p>
            <w:pPr>
              <w:jc w:val="center"/>
              <w:rPr>
                <w:rFonts w:ascii="Times New Roman" w:hAnsi="Times New Roman" w:eastAsia="仿宋_GB2312"/>
                <w:sz w:val="18"/>
                <w:szCs w:val="18"/>
              </w:rPr>
            </w:pP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57" w:type="dxa"/>
            <w:vAlign w:val="center"/>
          </w:tcPr>
          <w:p>
            <w:pPr>
              <w:jc w:val="center"/>
              <w:rPr>
                <w:rFonts w:ascii="Times New Roman" w:hAnsi="Times New Roman" w:eastAsia="仿宋_GB2312"/>
                <w:sz w:val="18"/>
                <w:szCs w:val="18"/>
              </w:rPr>
            </w:pPr>
            <w:r>
              <w:rPr>
                <w:rFonts w:ascii="Times New Roman" w:hAnsi="Times New Roman" w:eastAsia="仿宋_GB2312"/>
                <w:szCs w:val="21"/>
              </w:rPr>
              <w:t>3.2</w:t>
            </w:r>
          </w:p>
        </w:tc>
        <w:tc>
          <w:tcPr>
            <w:tcW w:w="983" w:type="dxa"/>
            <w:vAlign w:val="center"/>
          </w:tcPr>
          <w:p>
            <w:pPr>
              <w:jc w:val="center"/>
              <w:rPr>
                <w:rFonts w:ascii="Times New Roman" w:hAnsi="Times New Roman" w:eastAsia="仿宋_GB2312"/>
                <w:sz w:val="18"/>
                <w:szCs w:val="18"/>
              </w:rPr>
            </w:pPr>
            <w:r>
              <w:rPr>
                <w:rFonts w:ascii="Times New Roman" w:hAnsi="Times New Roman" w:eastAsia="仿宋_GB2312"/>
                <w:szCs w:val="21"/>
              </w:rPr>
              <w:t>-8.5%</w:t>
            </w:r>
          </w:p>
        </w:tc>
        <w:tc>
          <w:tcPr>
            <w:tcW w:w="990" w:type="dxa"/>
            <w:vAlign w:val="center"/>
          </w:tcPr>
          <w:p>
            <w:pPr>
              <w:jc w:val="center"/>
              <w:rPr>
                <w:rFonts w:ascii="Times New Roman" w:hAnsi="Times New Roman" w:eastAsia="仿宋_GB2312"/>
                <w:sz w:val="18"/>
                <w:szCs w:val="18"/>
              </w:rPr>
            </w:pPr>
            <w:r>
              <w:rPr>
                <w:rFonts w:ascii="Times New Roman" w:hAnsi="Times New Roman" w:eastAsia="仿宋_GB2312"/>
                <w:szCs w:val="21"/>
              </w:rPr>
              <w:t>是</w:t>
            </w:r>
          </w:p>
        </w:tc>
        <w:tc>
          <w:tcPr>
            <w:tcW w:w="1160" w:type="dxa"/>
            <w:vAlign w:val="center"/>
          </w:tcPr>
          <w:p>
            <w:pPr>
              <w:jc w:val="center"/>
              <w:rPr>
                <w:rFonts w:ascii="Times New Roman" w:hAnsi="Times New Roman" w:eastAsia="仿宋_GB2312"/>
                <w:sz w:val="18"/>
                <w:szCs w:val="18"/>
              </w:rPr>
            </w:pPr>
            <w:r>
              <w:rPr>
                <w:rFonts w:ascii="Times New Roman" w:hAnsi="Times New Roman" w:eastAsia="仿宋_GB2312"/>
                <w:szCs w:val="21"/>
              </w:rPr>
              <w:t>2%</w:t>
            </w:r>
          </w:p>
        </w:tc>
        <w:tc>
          <w:tcPr>
            <w:tcW w:w="2580" w:type="dxa"/>
            <w:vAlign w:val="center"/>
          </w:tcPr>
          <w:p>
            <w:pPr>
              <w:jc w:val="center"/>
              <w:rPr>
                <w:rFonts w:ascii="Times New Roman" w:hAnsi="Times New Roman" w:eastAsia="仿宋_GB2312"/>
                <w:sz w:val="18"/>
                <w:szCs w:val="18"/>
              </w:rPr>
            </w:pPr>
            <w:r>
              <w:rPr>
                <w:rFonts w:ascii="Times New Roman" w:hAnsi="Times New Roman" w:eastAsia="仿宋_GB2312"/>
                <w:szCs w:val="21"/>
              </w:rPr>
              <w:t>（3.2-3.5）/（1-2%）=-0.29</w:t>
            </w:r>
          </w:p>
        </w:tc>
        <w:tc>
          <w:tcPr>
            <w:tcW w:w="1800" w:type="dxa"/>
            <w:vAlign w:val="center"/>
          </w:tcPr>
          <w:p>
            <w:pPr>
              <w:jc w:val="center"/>
              <w:rPr>
                <w:rFonts w:ascii="Times New Roman" w:hAnsi="Times New Roman" w:eastAsia="仿宋_GB2312"/>
                <w:sz w:val="18"/>
                <w:szCs w:val="18"/>
              </w:rPr>
            </w:pPr>
            <w:r>
              <w:rPr>
                <w:rFonts w:ascii="Times New Roman" w:hAnsi="Times New Roman" w:eastAsia="仿宋_GB2312"/>
                <w:szCs w:val="21"/>
              </w:rPr>
              <w:t>4.5-0.29=4.21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57" w:type="dxa"/>
            <w:vAlign w:val="center"/>
          </w:tcPr>
          <w:p>
            <w:pPr>
              <w:jc w:val="center"/>
              <w:rPr>
                <w:rFonts w:ascii="Times New Roman" w:hAnsi="Times New Roman" w:eastAsia="仿宋_GB2312"/>
                <w:sz w:val="18"/>
                <w:szCs w:val="18"/>
              </w:rPr>
            </w:pPr>
            <w:r>
              <w:rPr>
                <w:rFonts w:ascii="Times New Roman" w:hAnsi="Times New Roman" w:eastAsia="仿宋_GB2312"/>
                <w:szCs w:val="21"/>
              </w:rPr>
              <w:t>3.8</w:t>
            </w:r>
          </w:p>
        </w:tc>
        <w:tc>
          <w:tcPr>
            <w:tcW w:w="983" w:type="dxa"/>
            <w:vAlign w:val="center"/>
          </w:tcPr>
          <w:p>
            <w:pPr>
              <w:jc w:val="center"/>
              <w:rPr>
                <w:rFonts w:ascii="Times New Roman" w:hAnsi="Times New Roman" w:eastAsia="仿宋_GB2312"/>
                <w:sz w:val="18"/>
                <w:szCs w:val="18"/>
              </w:rPr>
            </w:pPr>
            <w:r>
              <w:rPr>
                <w:rFonts w:ascii="Times New Roman" w:hAnsi="Times New Roman" w:eastAsia="仿宋_GB2312"/>
                <w:szCs w:val="21"/>
              </w:rPr>
              <w:t>8.5%</w:t>
            </w:r>
          </w:p>
        </w:tc>
        <w:tc>
          <w:tcPr>
            <w:tcW w:w="990" w:type="dxa"/>
            <w:vAlign w:val="center"/>
          </w:tcPr>
          <w:p>
            <w:pPr>
              <w:jc w:val="center"/>
              <w:rPr>
                <w:rFonts w:ascii="Times New Roman" w:hAnsi="Times New Roman" w:eastAsia="仿宋_GB2312"/>
                <w:sz w:val="18"/>
                <w:szCs w:val="18"/>
              </w:rPr>
            </w:pPr>
            <w:r>
              <w:rPr>
                <w:rFonts w:ascii="Times New Roman" w:hAnsi="Times New Roman" w:eastAsia="仿宋_GB2312"/>
                <w:szCs w:val="21"/>
              </w:rPr>
              <w:t>是</w:t>
            </w:r>
          </w:p>
        </w:tc>
        <w:tc>
          <w:tcPr>
            <w:tcW w:w="1160" w:type="dxa"/>
            <w:vAlign w:val="center"/>
          </w:tcPr>
          <w:p>
            <w:pPr>
              <w:jc w:val="center"/>
              <w:rPr>
                <w:rFonts w:ascii="Times New Roman" w:hAnsi="Times New Roman" w:eastAsia="仿宋_GB2312"/>
                <w:sz w:val="18"/>
                <w:szCs w:val="18"/>
              </w:rPr>
            </w:pPr>
            <w:r>
              <w:rPr>
                <w:rFonts w:ascii="Times New Roman" w:hAnsi="Times New Roman" w:eastAsia="仿宋_GB2312"/>
                <w:szCs w:val="21"/>
              </w:rPr>
              <w:t>2%</w:t>
            </w:r>
          </w:p>
        </w:tc>
        <w:tc>
          <w:tcPr>
            <w:tcW w:w="2580" w:type="dxa"/>
            <w:vAlign w:val="center"/>
          </w:tcPr>
          <w:p>
            <w:pPr>
              <w:jc w:val="center"/>
              <w:rPr>
                <w:rFonts w:ascii="Times New Roman" w:hAnsi="Times New Roman" w:eastAsia="仿宋_GB2312"/>
                <w:sz w:val="18"/>
                <w:szCs w:val="18"/>
              </w:rPr>
            </w:pPr>
            <w:r>
              <w:rPr>
                <w:rFonts w:ascii="Times New Roman" w:hAnsi="Times New Roman" w:eastAsia="仿宋_GB2312"/>
                <w:szCs w:val="21"/>
              </w:rPr>
              <w:t>（3.8-3.5）/（1-2%）=0.29</w:t>
            </w:r>
          </w:p>
        </w:tc>
        <w:tc>
          <w:tcPr>
            <w:tcW w:w="1800" w:type="dxa"/>
            <w:vAlign w:val="center"/>
          </w:tcPr>
          <w:p>
            <w:pPr>
              <w:jc w:val="center"/>
              <w:rPr>
                <w:rFonts w:ascii="Times New Roman" w:hAnsi="Times New Roman" w:eastAsia="仿宋_GB2312"/>
                <w:sz w:val="18"/>
                <w:szCs w:val="18"/>
              </w:rPr>
            </w:pPr>
            <w:r>
              <w:rPr>
                <w:rFonts w:ascii="Times New Roman" w:hAnsi="Times New Roman" w:eastAsia="仿宋_GB2312"/>
                <w:szCs w:val="21"/>
              </w:rPr>
              <w:t>4.5+0.29=4.79</w:t>
            </w:r>
          </w:p>
        </w:tc>
      </w:tr>
    </w:tbl>
    <w:p>
      <w:pPr>
        <w:widowControl/>
        <w:spacing w:before="312" w:beforeLines="10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调价程序：达到启动条件时，由燃气经营企业向市价格主管部门提交调价备案，并报送周期内天然气采购价格、气量及采购合同、发票等相关数据和资料。在燃气价格下降时，燃气经营企业未及时提交调价备案，即可由价格主管部门直接启动调价程序，下调终端销售价格。</w:t>
      </w:r>
    </w:p>
    <w:p>
      <w:pPr>
        <w:widowControl/>
        <w:numPr>
          <w:ilvl w:val="0"/>
          <w:numId w:val="1"/>
        </w:numPr>
        <w:spacing w:line="600" w:lineRule="exact"/>
        <w:ind w:firstLine="640"/>
        <w:rPr>
          <w:rFonts w:ascii="Times New Roman" w:hAnsi="Times New Roman" w:eastAsia="楷体_GB2312"/>
          <w:sz w:val="32"/>
          <w:szCs w:val="32"/>
        </w:rPr>
      </w:pPr>
      <w:r>
        <w:rPr>
          <w:rFonts w:ascii="Times New Roman" w:hAnsi="Times New Roman" w:eastAsia="楷体_GB2312"/>
          <w:sz w:val="32"/>
          <w:szCs w:val="32"/>
        </w:rPr>
        <w:t>保障措施</w:t>
      </w:r>
    </w:p>
    <w:p>
      <w:pPr>
        <w:pStyle w:val="8"/>
        <w:widowControl/>
        <w:spacing w:before="0" w:beforeAutospacing="0" w:after="0" w:afterAutospacing="0" w:line="600" w:lineRule="exact"/>
        <w:ind w:firstLine="645"/>
        <w:jc w:val="both"/>
        <w:rPr>
          <w:rFonts w:ascii="Times New Roman" w:hAnsi="Times New Roman" w:eastAsia="仿宋_GB2312"/>
          <w:sz w:val="32"/>
          <w:szCs w:val="32"/>
        </w:rPr>
      </w:pPr>
      <w:r>
        <w:rPr>
          <w:rFonts w:ascii="Times New Roman" w:hAnsi="Times New Roman" w:eastAsia="仿宋_GB2312"/>
          <w:kern w:val="2"/>
          <w:sz w:val="32"/>
          <w:szCs w:val="32"/>
        </w:rPr>
        <w:t>保障措施具体为建立报备制度、控制采购成本、储备充足气源和做好宣传解释。根据我市实际情况，强调</w:t>
      </w:r>
      <w:r>
        <w:rPr>
          <w:rFonts w:hint="eastAsia" w:ascii="Times New Roman" w:hAnsi="Times New Roman" w:eastAsia="仿宋_GB2312"/>
          <w:kern w:val="2"/>
          <w:sz w:val="32"/>
          <w:szCs w:val="32"/>
        </w:rPr>
        <w:t>“</w:t>
      </w:r>
      <w:r>
        <w:rPr>
          <w:rFonts w:ascii="Times New Roman" w:hAnsi="Times New Roman" w:eastAsia="仿宋_GB2312"/>
          <w:kern w:val="2"/>
          <w:sz w:val="32"/>
          <w:szCs w:val="32"/>
        </w:rPr>
        <w:t>控制采购成本</w:t>
      </w:r>
      <w:r>
        <w:rPr>
          <w:rFonts w:hint="eastAsia" w:ascii="Times New Roman" w:hAnsi="Times New Roman" w:eastAsia="仿宋_GB2312"/>
          <w:kern w:val="2"/>
          <w:sz w:val="32"/>
          <w:szCs w:val="32"/>
        </w:rPr>
        <w:t>”</w:t>
      </w:r>
      <w:r>
        <w:rPr>
          <w:rFonts w:ascii="Times New Roman" w:hAnsi="Times New Roman" w:eastAsia="仿宋_GB2312"/>
          <w:kern w:val="2"/>
          <w:sz w:val="32"/>
          <w:szCs w:val="32"/>
        </w:rPr>
        <w:t>和</w:t>
      </w:r>
      <w:r>
        <w:rPr>
          <w:rFonts w:hint="eastAsia" w:ascii="Times New Roman" w:hAnsi="Times New Roman" w:eastAsia="仿宋_GB2312"/>
          <w:kern w:val="2"/>
          <w:sz w:val="32"/>
          <w:szCs w:val="32"/>
        </w:rPr>
        <w:t>“</w:t>
      </w:r>
      <w:r>
        <w:rPr>
          <w:rFonts w:ascii="Times New Roman" w:hAnsi="Times New Roman" w:eastAsia="仿宋_GB2312"/>
          <w:kern w:val="2"/>
          <w:sz w:val="32"/>
          <w:szCs w:val="32"/>
        </w:rPr>
        <w:t>储备充足气源</w:t>
      </w:r>
      <w:r>
        <w:rPr>
          <w:rFonts w:hint="eastAsia" w:ascii="Times New Roman" w:hAnsi="Times New Roman" w:eastAsia="仿宋_GB2312"/>
          <w:kern w:val="2"/>
          <w:sz w:val="32"/>
          <w:szCs w:val="32"/>
        </w:rPr>
        <w:t>”</w:t>
      </w:r>
      <w:r>
        <w:rPr>
          <w:rFonts w:ascii="Times New Roman" w:hAnsi="Times New Roman" w:eastAsia="仿宋_GB2312"/>
          <w:kern w:val="2"/>
          <w:sz w:val="32"/>
          <w:szCs w:val="32"/>
        </w:rPr>
        <w:t>，要求燃气</w:t>
      </w:r>
      <w:r>
        <w:rPr>
          <w:rFonts w:ascii="Times New Roman" w:hAnsi="Times New Roman" w:eastAsia="仿宋_GB2312"/>
          <w:sz w:val="32"/>
          <w:szCs w:val="32"/>
        </w:rPr>
        <w:t>经营</w:t>
      </w:r>
      <w:r>
        <w:rPr>
          <w:rFonts w:ascii="Times New Roman" w:hAnsi="Times New Roman" w:eastAsia="仿宋_GB2312"/>
          <w:kern w:val="2"/>
          <w:sz w:val="32"/>
          <w:szCs w:val="32"/>
        </w:rPr>
        <w:t>企业严格控制气源采购成本，落实城镇燃气保供应主体责任，确保燃气安全稳定足量供应。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E1D6"/>
    <w:multiLevelType w:val="singleLevel"/>
    <w:tmpl w:val="B7F6E1D6"/>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ZDk1YTYxYmJhYjBlNjc0YTBkMWZjNTdmMTIxNDUifQ=="/>
  </w:docVars>
  <w:rsids>
    <w:rsidRoot w:val="F63BD23F"/>
    <w:rsid w:val="00012234"/>
    <w:rsid w:val="0002273C"/>
    <w:rsid w:val="00057AF5"/>
    <w:rsid w:val="0006186B"/>
    <w:rsid w:val="00066A4B"/>
    <w:rsid w:val="0009380B"/>
    <w:rsid w:val="000D6914"/>
    <w:rsid w:val="000E76D2"/>
    <w:rsid w:val="000F53CF"/>
    <w:rsid w:val="001241AF"/>
    <w:rsid w:val="0013075A"/>
    <w:rsid w:val="00130815"/>
    <w:rsid w:val="001327FE"/>
    <w:rsid w:val="0016218C"/>
    <w:rsid w:val="001B3BA7"/>
    <w:rsid w:val="001F4176"/>
    <w:rsid w:val="0020690B"/>
    <w:rsid w:val="002158CF"/>
    <w:rsid w:val="00231A3E"/>
    <w:rsid w:val="00241F11"/>
    <w:rsid w:val="00250ED7"/>
    <w:rsid w:val="002765D4"/>
    <w:rsid w:val="00342E1B"/>
    <w:rsid w:val="00373601"/>
    <w:rsid w:val="00403D15"/>
    <w:rsid w:val="00414C1B"/>
    <w:rsid w:val="00433EAF"/>
    <w:rsid w:val="00465BB3"/>
    <w:rsid w:val="004D44A7"/>
    <w:rsid w:val="004E7CB7"/>
    <w:rsid w:val="004F0B80"/>
    <w:rsid w:val="00573664"/>
    <w:rsid w:val="00591163"/>
    <w:rsid w:val="005A20CC"/>
    <w:rsid w:val="005B338B"/>
    <w:rsid w:val="005F52AC"/>
    <w:rsid w:val="00614C96"/>
    <w:rsid w:val="006209B2"/>
    <w:rsid w:val="006A4712"/>
    <w:rsid w:val="006F72A8"/>
    <w:rsid w:val="00704E01"/>
    <w:rsid w:val="00706910"/>
    <w:rsid w:val="007077DD"/>
    <w:rsid w:val="00715EDF"/>
    <w:rsid w:val="00743CA2"/>
    <w:rsid w:val="00786A3A"/>
    <w:rsid w:val="007F327E"/>
    <w:rsid w:val="008275B4"/>
    <w:rsid w:val="008A66AC"/>
    <w:rsid w:val="008E527C"/>
    <w:rsid w:val="008F29EB"/>
    <w:rsid w:val="00916CD0"/>
    <w:rsid w:val="0092367D"/>
    <w:rsid w:val="0095425F"/>
    <w:rsid w:val="00987889"/>
    <w:rsid w:val="009A088C"/>
    <w:rsid w:val="009B6777"/>
    <w:rsid w:val="009F35AB"/>
    <w:rsid w:val="00A177C7"/>
    <w:rsid w:val="00A201C3"/>
    <w:rsid w:val="00A43B98"/>
    <w:rsid w:val="00A53FC2"/>
    <w:rsid w:val="00A62A18"/>
    <w:rsid w:val="00AC1795"/>
    <w:rsid w:val="00AE44F6"/>
    <w:rsid w:val="00B51DB2"/>
    <w:rsid w:val="00B75750"/>
    <w:rsid w:val="00BF6951"/>
    <w:rsid w:val="00C235EF"/>
    <w:rsid w:val="00C52F7C"/>
    <w:rsid w:val="00C531EA"/>
    <w:rsid w:val="00C8179B"/>
    <w:rsid w:val="00C834B4"/>
    <w:rsid w:val="00CB69A5"/>
    <w:rsid w:val="00CC480F"/>
    <w:rsid w:val="00CE72F6"/>
    <w:rsid w:val="00CE782E"/>
    <w:rsid w:val="00D6268F"/>
    <w:rsid w:val="00D866B7"/>
    <w:rsid w:val="00D86B4B"/>
    <w:rsid w:val="00DC47F4"/>
    <w:rsid w:val="00DF0AA5"/>
    <w:rsid w:val="00E1199B"/>
    <w:rsid w:val="00E35AD3"/>
    <w:rsid w:val="00E77C64"/>
    <w:rsid w:val="00EF32F1"/>
    <w:rsid w:val="00F24AD3"/>
    <w:rsid w:val="00F52E2D"/>
    <w:rsid w:val="00F801DF"/>
    <w:rsid w:val="00F9743F"/>
    <w:rsid w:val="00FD5A15"/>
    <w:rsid w:val="04176D3A"/>
    <w:rsid w:val="06E3665F"/>
    <w:rsid w:val="0AFC11C6"/>
    <w:rsid w:val="0EFE1CEF"/>
    <w:rsid w:val="0F8FE9E2"/>
    <w:rsid w:val="1B5BC9A8"/>
    <w:rsid w:val="1BFF3809"/>
    <w:rsid w:val="1EB5C2EE"/>
    <w:rsid w:val="1F9BAB7F"/>
    <w:rsid w:val="1FCFD898"/>
    <w:rsid w:val="24BD5AE1"/>
    <w:rsid w:val="25BE06B9"/>
    <w:rsid w:val="2AF6DBB6"/>
    <w:rsid w:val="2BDF5D13"/>
    <w:rsid w:val="2D5F2AAA"/>
    <w:rsid w:val="2F7A5AFF"/>
    <w:rsid w:val="2FAD725F"/>
    <w:rsid w:val="307D0D27"/>
    <w:rsid w:val="307FE2B5"/>
    <w:rsid w:val="33DBF68B"/>
    <w:rsid w:val="37F78EBC"/>
    <w:rsid w:val="39BFCB9F"/>
    <w:rsid w:val="39C7D623"/>
    <w:rsid w:val="3ABF3DC9"/>
    <w:rsid w:val="3AC35DC0"/>
    <w:rsid w:val="3B8B30EE"/>
    <w:rsid w:val="3BDE52AF"/>
    <w:rsid w:val="3D11122F"/>
    <w:rsid w:val="3D1953EF"/>
    <w:rsid w:val="3DEFB83B"/>
    <w:rsid w:val="3DFB13E4"/>
    <w:rsid w:val="3DFD574A"/>
    <w:rsid w:val="3E743B45"/>
    <w:rsid w:val="3EFF1839"/>
    <w:rsid w:val="3F4DF642"/>
    <w:rsid w:val="3F7B74F7"/>
    <w:rsid w:val="3FABA6FC"/>
    <w:rsid w:val="3FD9B8F9"/>
    <w:rsid w:val="3FFF05A5"/>
    <w:rsid w:val="43FEED7C"/>
    <w:rsid w:val="4BFED2F6"/>
    <w:rsid w:val="4EEF60AC"/>
    <w:rsid w:val="4FFEE12A"/>
    <w:rsid w:val="50FB4B23"/>
    <w:rsid w:val="53FFD12C"/>
    <w:rsid w:val="57DB2008"/>
    <w:rsid w:val="5AEE4575"/>
    <w:rsid w:val="5ECB7AF4"/>
    <w:rsid w:val="5F7C08F7"/>
    <w:rsid w:val="5FFAAE81"/>
    <w:rsid w:val="5FFD98CC"/>
    <w:rsid w:val="5FFDB7FE"/>
    <w:rsid w:val="5FFFC089"/>
    <w:rsid w:val="62514EEA"/>
    <w:rsid w:val="62657FD1"/>
    <w:rsid w:val="6293E4D7"/>
    <w:rsid w:val="63FB3876"/>
    <w:rsid w:val="64FFC19B"/>
    <w:rsid w:val="65FE49B3"/>
    <w:rsid w:val="66ED40FD"/>
    <w:rsid w:val="67FF1125"/>
    <w:rsid w:val="6AFFA1A8"/>
    <w:rsid w:val="6B3DAC08"/>
    <w:rsid w:val="6BFF331F"/>
    <w:rsid w:val="6CAACCD6"/>
    <w:rsid w:val="6E3B997D"/>
    <w:rsid w:val="6EF7B53C"/>
    <w:rsid w:val="6FBFA7D2"/>
    <w:rsid w:val="6FBFCE92"/>
    <w:rsid w:val="6FFCFE10"/>
    <w:rsid w:val="736FC586"/>
    <w:rsid w:val="73BB7AAD"/>
    <w:rsid w:val="74FDD213"/>
    <w:rsid w:val="76B5C831"/>
    <w:rsid w:val="77D9C082"/>
    <w:rsid w:val="77F35E25"/>
    <w:rsid w:val="792C1FFA"/>
    <w:rsid w:val="79FD7DEA"/>
    <w:rsid w:val="7A7745A9"/>
    <w:rsid w:val="7BD7DE99"/>
    <w:rsid w:val="7BD870C2"/>
    <w:rsid w:val="7BF525C7"/>
    <w:rsid w:val="7BF923A2"/>
    <w:rsid w:val="7BFA5E55"/>
    <w:rsid w:val="7BFF9127"/>
    <w:rsid w:val="7CDF4ADC"/>
    <w:rsid w:val="7CFB8AA3"/>
    <w:rsid w:val="7D7F7A44"/>
    <w:rsid w:val="7DB79BB6"/>
    <w:rsid w:val="7DDEE45A"/>
    <w:rsid w:val="7DFEC154"/>
    <w:rsid w:val="7DFF6A1E"/>
    <w:rsid w:val="7E3DC956"/>
    <w:rsid w:val="7E6A6091"/>
    <w:rsid w:val="7ECFEEA6"/>
    <w:rsid w:val="7EF371F9"/>
    <w:rsid w:val="7EFC136A"/>
    <w:rsid w:val="7F2E14F9"/>
    <w:rsid w:val="7F5F9CA5"/>
    <w:rsid w:val="7F653386"/>
    <w:rsid w:val="7F6FF5BD"/>
    <w:rsid w:val="7F9EECDD"/>
    <w:rsid w:val="7FAB9B83"/>
    <w:rsid w:val="7FCF4F8A"/>
    <w:rsid w:val="7FD55569"/>
    <w:rsid w:val="7FD7DB06"/>
    <w:rsid w:val="7FDF0A25"/>
    <w:rsid w:val="7FDFD726"/>
    <w:rsid w:val="7FE71290"/>
    <w:rsid w:val="7FE7595A"/>
    <w:rsid w:val="7FE7D66E"/>
    <w:rsid w:val="7FEF7FDA"/>
    <w:rsid w:val="7FF88CDE"/>
    <w:rsid w:val="7FFAEF9E"/>
    <w:rsid w:val="7FFBC67D"/>
    <w:rsid w:val="7FFD9605"/>
    <w:rsid w:val="7FFDAAB3"/>
    <w:rsid w:val="8ECE2E37"/>
    <w:rsid w:val="8FEF6CC6"/>
    <w:rsid w:val="97F21E2A"/>
    <w:rsid w:val="99DFED12"/>
    <w:rsid w:val="9F3755BA"/>
    <w:rsid w:val="9FF7A2D3"/>
    <w:rsid w:val="A7FBADBD"/>
    <w:rsid w:val="ABDF8D2A"/>
    <w:rsid w:val="ADF73E60"/>
    <w:rsid w:val="AF1FE822"/>
    <w:rsid w:val="AFB6EF51"/>
    <w:rsid w:val="AFF86804"/>
    <w:rsid w:val="B30A46AE"/>
    <w:rsid w:val="B36ED1DD"/>
    <w:rsid w:val="B76E6931"/>
    <w:rsid w:val="B7966BE2"/>
    <w:rsid w:val="B7C3BAE6"/>
    <w:rsid w:val="BA9F065A"/>
    <w:rsid w:val="BB4F62AC"/>
    <w:rsid w:val="BB6BD4A6"/>
    <w:rsid w:val="BB998DFC"/>
    <w:rsid w:val="BBCA0FB3"/>
    <w:rsid w:val="BBDAE9CE"/>
    <w:rsid w:val="BBE36D22"/>
    <w:rsid w:val="BBEB8BE2"/>
    <w:rsid w:val="BBEDC582"/>
    <w:rsid w:val="BCDBE0C8"/>
    <w:rsid w:val="BDCF1118"/>
    <w:rsid w:val="BEA4ABFC"/>
    <w:rsid w:val="BFBC7EAF"/>
    <w:rsid w:val="BFF368B3"/>
    <w:rsid w:val="BFFFA45B"/>
    <w:rsid w:val="C1814434"/>
    <w:rsid w:val="C6F7D971"/>
    <w:rsid w:val="CEDE01C0"/>
    <w:rsid w:val="CEFC1633"/>
    <w:rsid w:val="CF8BCCB6"/>
    <w:rsid w:val="CFEFB3FF"/>
    <w:rsid w:val="D1EEBB2F"/>
    <w:rsid w:val="D4FB05DB"/>
    <w:rsid w:val="D4FF6C1A"/>
    <w:rsid w:val="D79F60C0"/>
    <w:rsid w:val="D7A790E0"/>
    <w:rsid w:val="D7FB065C"/>
    <w:rsid w:val="DAF687A7"/>
    <w:rsid w:val="DAFF4496"/>
    <w:rsid w:val="DBDC21E6"/>
    <w:rsid w:val="DBFEEC57"/>
    <w:rsid w:val="DCFF97E7"/>
    <w:rsid w:val="DD1EA230"/>
    <w:rsid w:val="DE5F1093"/>
    <w:rsid w:val="DEE98A37"/>
    <w:rsid w:val="DF766FF3"/>
    <w:rsid w:val="DF7F4DFB"/>
    <w:rsid w:val="DFBFF98A"/>
    <w:rsid w:val="DFF7B728"/>
    <w:rsid w:val="DFFE8374"/>
    <w:rsid w:val="DFFFA07C"/>
    <w:rsid w:val="DFFFA0E7"/>
    <w:rsid w:val="E01F96DD"/>
    <w:rsid w:val="E5EDA35E"/>
    <w:rsid w:val="E9AF7F85"/>
    <w:rsid w:val="EDAF4A38"/>
    <w:rsid w:val="EEBB1AC7"/>
    <w:rsid w:val="EF991127"/>
    <w:rsid w:val="EFB597F6"/>
    <w:rsid w:val="EFD7CF7F"/>
    <w:rsid w:val="EFF14359"/>
    <w:rsid w:val="EFF7727E"/>
    <w:rsid w:val="EFFC1FC2"/>
    <w:rsid w:val="EFFFBBDF"/>
    <w:rsid w:val="F23F3A42"/>
    <w:rsid w:val="F3CF353D"/>
    <w:rsid w:val="F63BD23F"/>
    <w:rsid w:val="F6E7CDBE"/>
    <w:rsid w:val="F6FAC4CC"/>
    <w:rsid w:val="F7DBDB0F"/>
    <w:rsid w:val="F7DFC757"/>
    <w:rsid w:val="F7F71664"/>
    <w:rsid w:val="F97E3F98"/>
    <w:rsid w:val="F9BF6E65"/>
    <w:rsid w:val="FA6F738E"/>
    <w:rsid w:val="FB04A0C3"/>
    <w:rsid w:val="FB7BB5A9"/>
    <w:rsid w:val="FBB92A3C"/>
    <w:rsid w:val="FBBDA53A"/>
    <w:rsid w:val="FC8FEEE6"/>
    <w:rsid w:val="FCEA7A26"/>
    <w:rsid w:val="FD7CA19E"/>
    <w:rsid w:val="FD8F89E1"/>
    <w:rsid w:val="FDDF4DE6"/>
    <w:rsid w:val="FDDFD4EA"/>
    <w:rsid w:val="FDE3DC23"/>
    <w:rsid w:val="FDFA20F0"/>
    <w:rsid w:val="FE6798F2"/>
    <w:rsid w:val="FE85FCB8"/>
    <w:rsid w:val="FEF3514E"/>
    <w:rsid w:val="FEF57DFD"/>
    <w:rsid w:val="FEF63783"/>
    <w:rsid w:val="FEFC5C6B"/>
    <w:rsid w:val="FF0F00E5"/>
    <w:rsid w:val="FF7AE91E"/>
    <w:rsid w:val="FF7BA23C"/>
    <w:rsid w:val="FF7FD613"/>
    <w:rsid w:val="FF8FAE45"/>
    <w:rsid w:val="FF938611"/>
    <w:rsid w:val="FF95C145"/>
    <w:rsid w:val="FFAEA3FA"/>
    <w:rsid w:val="FFAFF917"/>
    <w:rsid w:val="FFBDF609"/>
    <w:rsid w:val="FFCFFACC"/>
    <w:rsid w:val="FFE59725"/>
    <w:rsid w:val="FFEF96C7"/>
    <w:rsid w:val="FFF560EC"/>
    <w:rsid w:val="FFFBB75D"/>
    <w:rsid w:val="FFFD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ind w:firstLine="643"/>
      <w:outlineLvl w:val="2"/>
    </w:pPr>
    <w:rPr>
      <w:b/>
      <w:bC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40" w:line="276" w:lineRule="auto"/>
    </w:p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39"/>
    <w:pPr>
      <w:tabs>
        <w:tab w:val="right" w:leader="dot" w:pos="8494"/>
      </w:tabs>
      <w:adjustRightInd w:val="0"/>
      <w:snapToGrid w:val="0"/>
      <w:spacing w:line="480" w:lineRule="exact"/>
      <w:ind w:left="313" w:leftChars="149" w:firstLine="140" w:firstLineChars="50"/>
    </w:pPr>
    <w:rPr>
      <w:rFonts w:ascii="楷体_GB2312" w:hAnsi="宋体" w:eastAsia="楷体_GB2312"/>
      <w:sz w:val="28"/>
      <w:szCs w:val="2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2515</Words>
  <Characters>2541</Characters>
  <Lines>149</Lines>
  <Paragraphs>163</Paragraphs>
  <TotalTime>2</TotalTime>
  <ScaleCrop>false</ScaleCrop>
  <LinksUpToDate>false</LinksUpToDate>
  <CharactersWithSpaces>4893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2025-12-20T10:07:00Z</dcterms:created>
  <dc:creator>uos</dc:creator>
  <cp:lastModifiedBy>ht706</cp:lastModifiedBy>
  <cp:lastPrinted>2025-12-18T09:34:00Z</cp:lastPrinted>
  <dcterms:modified xsi:type="dcterms:W3CDTF">2025-12-22T16:04:03Z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FAA42B561D51B340178F4869FA15B41A</vt:lpwstr>
  </property>
</Properties>
</file>