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95"/>
          <w:sz w:val="44"/>
          <w:szCs w:val="44"/>
          <w:u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仿宋_GB2312" w:eastAsia="仿宋_GB2312"/>
          <w:b/>
          <w:bCs/>
          <w:w w:val="95"/>
          <w:sz w:val="44"/>
          <w:szCs w:val="44"/>
          <w:lang w:val="en-US" w:eastAsia="zh-CN"/>
        </w:rPr>
      </w:pPr>
      <w:bookmarkStart w:id="0" w:name="_GoBack"/>
      <w:bookmarkEnd w:id="0"/>
      <w:r>
        <w:rPr>
          <w:rFonts w:hint="eastAsia" w:ascii="方正小标宋简体" w:hAnsi="方正小标宋简体" w:eastAsia="方正小标宋简体" w:cs="方正小标宋简体"/>
          <w:w w:val="95"/>
          <w:sz w:val="44"/>
          <w:szCs w:val="44"/>
          <w:u w:val="none"/>
          <w:lang w:val="en-US" w:eastAsia="zh-CN"/>
        </w:rPr>
        <w:t>关于推动汕头企业</w:t>
      </w:r>
      <w:r>
        <w:rPr>
          <w:rFonts w:hint="eastAsia" w:ascii="方正小标宋简体" w:hAnsi="方正小标宋简体" w:eastAsia="方正小标宋简体" w:cs="方正小标宋简体"/>
          <w:w w:val="95"/>
          <w:sz w:val="44"/>
          <w:szCs w:val="44"/>
          <w:u w:val="none"/>
        </w:rPr>
        <w:t>上市发展</w:t>
      </w:r>
      <w:r>
        <w:rPr>
          <w:rFonts w:hint="eastAsia" w:ascii="方正小标宋简体" w:hAnsi="方正小标宋简体" w:eastAsia="方正小标宋简体" w:cs="方正小标宋简体"/>
          <w:w w:val="95"/>
          <w:sz w:val="44"/>
          <w:szCs w:val="44"/>
          <w:u w:val="none"/>
          <w:lang w:eastAsia="zh-CN"/>
        </w:rPr>
        <w:t>“</w:t>
      </w:r>
      <w:r>
        <w:rPr>
          <w:rFonts w:hint="eastAsia" w:ascii="方正小标宋简体" w:hAnsi="方正小标宋简体" w:eastAsia="方正小标宋简体" w:cs="方正小标宋简体"/>
          <w:w w:val="95"/>
          <w:sz w:val="44"/>
          <w:szCs w:val="44"/>
          <w:u w:val="none"/>
          <w:lang w:val="en-US" w:eastAsia="zh-CN"/>
        </w:rPr>
        <w:t>486”行动方案</w:t>
      </w:r>
    </w:p>
    <w:p>
      <w:pPr>
        <w:keepNext w:val="0"/>
        <w:keepLines w:val="0"/>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（征求意见稿）</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仿宋_GB2312" w:eastAsia="仿宋_GB2312"/>
          <w:b w:val="0"/>
          <w:bCs w:val="0"/>
          <w:sz w:val="32"/>
          <w:szCs w:val="32"/>
          <w:lang w:val="en-US" w:eastAsia="zh-CN"/>
        </w:rPr>
      </w:pPr>
      <w:r>
        <w:rPr>
          <w:rFonts w:hint="eastAsia" w:ascii="仿宋_GB2312" w:hAnsi="仿宋_GB2312" w:eastAsia="仿宋_GB2312" w:cs="仿宋_GB2312"/>
          <w:sz w:val="32"/>
          <w:szCs w:val="32"/>
          <w:u w:val="none"/>
          <w:lang w:val="en-US" w:eastAsia="zh-CN"/>
        </w:rPr>
        <w:t>为落实省委省政府关于实施“百县千镇万村高质量发展工程”促进城乡区域协调发展和推动产业有序转移的工作部署，</w:t>
      </w:r>
      <w:r>
        <w:rPr>
          <w:rFonts w:hint="eastAsia" w:ascii="仿宋_GB2312" w:eastAsia="仿宋_GB2312"/>
          <w:b w:val="0"/>
          <w:bCs w:val="0"/>
          <w:sz w:val="32"/>
          <w:szCs w:val="32"/>
          <w:lang w:val="en-US" w:eastAsia="zh-CN"/>
        </w:rPr>
        <w:t>引导和推动更多上市以及上市后备企业利用资本市场做大做强，发挥上市企业产业引领带动作用，结合实际制定本方案。</w:t>
      </w:r>
    </w:p>
    <w:p>
      <w:pPr>
        <w:pStyle w:val="1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leftChars="0" w:right="0" w:firstLine="640" w:firstLineChars="200"/>
        <w:jc w:val="left"/>
        <w:textAlignment w:val="auto"/>
        <w:rPr>
          <w:rFonts w:hint="default" w:ascii="黑体" w:hAnsi="宋体" w:eastAsia="黑体" w:cs="黑体"/>
          <w:kern w:val="0"/>
          <w:sz w:val="32"/>
          <w:szCs w:val="32"/>
          <w:lang w:val="en-US" w:eastAsia="zh-CN" w:bidi="ar"/>
        </w:rPr>
      </w:pPr>
      <w:r>
        <w:rPr>
          <w:rFonts w:hint="default" w:ascii="黑体" w:hAnsi="宋体" w:eastAsia="黑体" w:cs="黑体"/>
          <w:kern w:val="0"/>
          <w:sz w:val="32"/>
          <w:szCs w:val="32"/>
          <w:lang w:val="en" w:eastAsia="zh-CN" w:bidi="ar"/>
        </w:rPr>
        <w:t>一、</w:t>
      </w:r>
      <w:r>
        <w:rPr>
          <w:rFonts w:hint="eastAsia" w:ascii="黑体" w:hAnsi="宋体" w:eastAsia="黑体" w:cs="黑体"/>
          <w:kern w:val="0"/>
          <w:sz w:val="32"/>
          <w:szCs w:val="32"/>
          <w:lang w:val="en-US" w:eastAsia="zh-CN" w:bidi="ar"/>
        </w:rPr>
        <w:t>工作目标</w:t>
      </w:r>
    </w:p>
    <w:p>
      <w:pPr>
        <w:pStyle w:val="1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sz w:val="32"/>
          <w:szCs w:val="32"/>
          <w:highlight w:val="none"/>
          <w:lang w:val="en-US" w:eastAsia="zh-CN"/>
        </w:rPr>
      </w:pPr>
      <w:r>
        <w:rPr>
          <w:rFonts w:hint="eastAsia" w:ascii="仿宋_GB2312" w:hAnsi="仿宋_GB2312" w:eastAsia="仿宋_GB2312" w:cs="仿宋_GB2312"/>
          <w:kern w:val="2"/>
          <w:sz w:val="32"/>
          <w:szCs w:val="32"/>
          <w:lang w:val="en-US" w:eastAsia="zh-CN" w:bidi="ar-SA"/>
        </w:rPr>
        <w:t>聚焦汕头市“三新两特一大”产业，</w:t>
      </w:r>
      <w:r>
        <w:rPr>
          <w:rFonts w:hint="default" w:ascii="Times New Roman" w:hAnsi="Times New Roman" w:eastAsia="仿宋_GB2312" w:cs="Times New Roman"/>
          <w:b w:val="0"/>
          <w:bCs w:val="0"/>
          <w:sz w:val="32"/>
          <w:szCs w:val="32"/>
          <w:lang w:val="en-US" w:eastAsia="zh-CN"/>
        </w:rPr>
        <w:t>优化</w:t>
      </w:r>
      <w:r>
        <w:rPr>
          <w:rFonts w:hint="eastAsia" w:ascii="Times New Roman" w:hAnsi="Times New Roman" w:eastAsia="仿宋_GB2312" w:cs="Times New Roman"/>
          <w:b w:val="0"/>
          <w:bCs w:val="0"/>
          <w:sz w:val="32"/>
          <w:szCs w:val="32"/>
          <w:lang w:val="en-US" w:eastAsia="zh-CN"/>
        </w:rPr>
        <w:t>深汕</w:t>
      </w:r>
      <w:r>
        <w:rPr>
          <w:rFonts w:hint="default" w:ascii="Times New Roman" w:hAnsi="Times New Roman" w:eastAsia="仿宋_GB2312" w:cs="Times New Roman"/>
          <w:b w:val="0"/>
          <w:bCs w:val="0"/>
          <w:sz w:val="32"/>
          <w:szCs w:val="32"/>
          <w:lang w:val="en-US" w:eastAsia="zh-CN"/>
        </w:rPr>
        <w:t>两地融资对接平台效能</w:t>
      </w:r>
      <w:r>
        <w:rPr>
          <w:rFonts w:hint="eastAsia" w:ascii="Times New Roman" w:hAnsi="Times New Roman" w:eastAsia="仿宋_GB2312" w:cs="Times New Roman"/>
          <w:b w:val="0"/>
          <w:bCs w:val="0"/>
          <w:sz w:val="32"/>
          <w:szCs w:val="32"/>
          <w:lang w:val="en-US" w:eastAsia="zh-CN"/>
        </w:rPr>
        <w:t>，坚持</w:t>
      </w:r>
      <w:r>
        <w:rPr>
          <w:rFonts w:hint="default" w:ascii="Times New Roman" w:hAnsi="Times New Roman" w:eastAsia="仿宋_GB2312" w:cs="Times New Roman"/>
          <w:b w:val="0"/>
          <w:bCs w:val="0"/>
          <w:sz w:val="32"/>
          <w:szCs w:val="32"/>
          <w:lang w:val="en-US" w:eastAsia="zh-CN"/>
        </w:rPr>
        <w:t>促增量与优存量相结合，</w:t>
      </w:r>
      <w:r>
        <w:rPr>
          <w:rFonts w:hint="eastAsia" w:ascii="Times New Roman" w:hAnsi="Times New Roman" w:eastAsia="仿宋_GB2312" w:cs="Times New Roman"/>
          <w:b w:val="0"/>
          <w:bCs w:val="0"/>
          <w:sz w:val="32"/>
          <w:szCs w:val="32"/>
          <w:lang w:val="en-US" w:eastAsia="zh-CN"/>
        </w:rPr>
        <w:t>推动汕头市40余家（A股、H股、新三板）</w:t>
      </w:r>
      <w:r>
        <w:rPr>
          <w:rFonts w:hint="default" w:ascii="Times New Roman" w:hAnsi="Times New Roman" w:eastAsia="仿宋_GB2312" w:cs="Times New Roman"/>
          <w:b w:val="0"/>
          <w:bCs w:val="0"/>
          <w:sz w:val="32"/>
          <w:szCs w:val="32"/>
          <w:lang w:val="en-US" w:eastAsia="zh-CN"/>
        </w:rPr>
        <w:t>上市企业</w:t>
      </w:r>
      <w:r>
        <w:rPr>
          <w:rFonts w:hint="eastAsia" w:ascii="Times New Roman" w:hAnsi="Times New Roman" w:eastAsia="仿宋_GB2312" w:cs="Times New Roman"/>
          <w:b w:val="0"/>
          <w:bCs w:val="0"/>
          <w:sz w:val="32"/>
          <w:szCs w:val="32"/>
          <w:lang w:val="en-US" w:eastAsia="zh-CN"/>
        </w:rPr>
        <w:t>提质增效，80余家</w:t>
      </w:r>
      <w:r>
        <w:rPr>
          <w:rFonts w:hint="default" w:ascii="Times New Roman" w:hAnsi="Times New Roman" w:eastAsia="仿宋_GB2312" w:cs="Times New Roman"/>
          <w:b w:val="0"/>
          <w:bCs w:val="0"/>
          <w:sz w:val="32"/>
          <w:szCs w:val="32"/>
          <w:lang w:val="en-US" w:eastAsia="zh-CN"/>
        </w:rPr>
        <w:t>后备企业加快发展上市融资</w:t>
      </w:r>
      <w:r>
        <w:rPr>
          <w:rFonts w:hint="eastAsia" w:ascii="Times New Roman" w:hAnsi="Times New Roman" w:eastAsia="仿宋_GB2312" w:cs="Times New Roman"/>
          <w:b w:val="0"/>
          <w:bCs w:val="0"/>
          <w:sz w:val="32"/>
          <w:szCs w:val="32"/>
          <w:lang w:val="en-US" w:eastAsia="zh-CN"/>
        </w:rPr>
        <w:t>，60余家专精特新企业纳入后备企业培育，加快</w:t>
      </w:r>
      <w:r>
        <w:rPr>
          <w:rFonts w:hint="default" w:ascii="Times New Roman" w:hAnsi="Times New Roman" w:eastAsia="仿宋_GB2312" w:cs="Times New Roman"/>
          <w:b w:val="0"/>
          <w:bCs w:val="0"/>
          <w:sz w:val="32"/>
          <w:szCs w:val="32"/>
          <w:lang w:val="en-US" w:eastAsia="zh-CN"/>
        </w:rPr>
        <w:t>打造全链条企业上市培育体系，促进产业结构</w:t>
      </w:r>
      <w:r>
        <w:rPr>
          <w:rFonts w:hint="eastAsia" w:ascii="Times New Roman" w:hAnsi="Times New Roman" w:eastAsia="仿宋_GB2312" w:cs="Times New Roman"/>
          <w:b w:val="0"/>
          <w:bCs w:val="0"/>
          <w:sz w:val="32"/>
          <w:szCs w:val="32"/>
          <w:lang w:val="en-US" w:eastAsia="zh-CN"/>
        </w:rPr>
        <w:t>转型</w:t>
      </w:r>
      <w:r>
        <w:rPr>
          <w:rFonts w:hint="default" w:ascii="Times New Roman" w:hAnsi="Times New Roman" w:eastAsia="仿宋_GB2312" w:cs="Times New Roman"/>
          <w:b w:val="0"/>
          <w:bCs w:val="0"/>
          <w:sz w:val="32"/>
          <w:szCs w:val="32"/>
          <w:lang w:val="en-US" w:eastAsia="zh-CN"/>
        </w:rPr>
        <w:t>升级</w:t>
      </w:r>
      <w:r>
        <w:rPr>
          <w:rFonts w:hint="eastAsia" w:ascii="Times New Roman" w:hAnsi="Times New Roman" w:eastAsia="仿宋_GB2312" w:cs="Times New Roman"/>
          <w:b w:val="0"/>
          <w:bCs w:val="0"/>
          <w:sz w:val="32"/>
          <w:szCs w:val="32"/>
          <w:lang w:val="en-US" w:eastAsia="zh-CN"/>
        </w:rPr>
        <w:t>。</w:t>
      </w:r>
    </w:p>
    <w:p>
      <w:pPr>
        <w:pStyle w:val="1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leftChars="0" w:right="0" w:firstLine="640" w:firstLineChars="200"/>
        <w:jc w:val="left"/>
        <w:textAlignment w:val="auto"/>
        <w:rPr>
          <w:rFonts w:hint="eastAsia" w:ascii="楷体_GB2312" w:hAnsi="楷体_GB2312" w:eastAsia="楷体_GB2312" w:cs="楷体_GB2312"/>
          <w:sz w:val="32"/>
          <w:szCs w:val="32"/>
          <w:highlight w:val="none"/>
          <w:u w:val="none"/>
          <w:lang w:val="en-US" w:eastAsia="zh-CN"/>
        </w:rPr>
      </w:pPr>
      <w:r>
        <w:rPr>
          <w:rFonts w:hint="eastAsia" w:ascii="黑体" w:hAnsi="宋体" w:eastAsia="黑体" w:cs="黑体"/>
          <w:kern w:val="0"/>
          <w:sz w:val="32"/>
          <w:szCs w:val="32"/>
          <w:lang w:val="en-US" w:eastAsia="zh-CN" w:bidi="ar"/>
        </w:rPr>
        <w:t>二、重点任务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楷体_GB2312" w:hAnsi="楷体_GB2312" w:eastAsia="楷体_GB2312" w:cs="楷体_GB2312"/>
          <w:b/>
          <w:bCs/>
          <w:sz w:val="32"/>
          <w:szCs w:val="32"/>
          <w:highlight w:val="none"/>
          <w:u w:val="none"/>
          <w:lang w:val="en-US" w:eastAsia="zh-CN"/>
        </w:rPr>
      </w:pPr>
      <w:r>
        <w:rPr>
          <w:rFonts w:hint="eastAsia" w:ascii="楷体_GB2312" w:hAnsi="楷体_GB2312" w:eastAsia="楷体_GB2312" w:cs="楷体_GB2312"/>
          <w:b/>
          <w:bCs/>
          <w:sz w:val="32"/>
          <w:szCs w:val="32"/>
          <w:highlight w:val="none"/>
          <w:u w:val="none"/>
          <w:lang w:val="en-US" w:eastAsia="zh-CN"/>
        </w:rPr>
        <w:t>（一）加大政策扶持力度，推动企业提质增效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b/>
          <w:bCs/>
          <w:sz w:val="32"/>
          <w:szCs w:val="32"/>
          <w:highlight w:val="none"/>
          <w:u w:val="none"/>
          <w:lang w:val="en-US" w:eastAsia="zh-CN"/>
        </w:rPr>
        <w:t>1.支持上市以及上市后备企业融资扩大生产经营。</w:t>
      </w:r>
      <w:r>
        <w:rPr>
          <w:rFonts w:hint="default" w:ascii="Times New Roman" w:hAnsi="Times New Roman" w:eastAsia="仿宋_GB2312" w:cs="Times New Roman"/>
          <w:sz w:val="32"/>
          <w:szCs w:val="32"/>
          <w:lang w:val="en-US" w:eastAsia="zh-CN"/>
        </w:rPr>
        <w:t>注册地在汕头市的</w:t>
      </w:r>
      <w:r>
        <w:rPr>
          <w:rFonts w:hint="eastAsia" w:ascii="Times New Roman" w:hAnsi="Times New Roman" w:eastAsia="仿宋_GB2312" w:cs="Times New Roman"/>
          <w:sz w:val="32"/>
          <w:szCs w:val="32"/>
          <w:lang w:val="en-US" w:eastAsia="zh-CN"/>
        </w:rPr>
        <w:t>A股、H股、新三板上市企业以及上市后备企业</w:t>
      </w:r>
      <w:r>
        <w:rPr>
          <w:rFonts w:hint="eastAsia" w:ascii="仿宋_GB2312" w:eastAsia="仿宋_GB2312"/>
          <w:sz w:val="32"/>
          <w:szCs w:val="32"/>
          <w:highlight w:val="none"/>
          <w:lang w:val="en-US" w:eastAsia="zh-CN"/>
        </w:rPr>
        <w:t>在汕头属地银行新发生的人民币短期流动资金贷款（存续期3个月以上，不含3个月）以及在政策实施期内到期的人民币中长期贷款在其贷款结清后，分别按照最高实际支付利息的50%、40%、30%、20%给予补贴</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每家企业补助分别</w:t>
      </w:r>
      <w:r>
        <w:rPr>
          <w:rFonts w:hint="default" w:ascii="Times New Roman" w:hAnsi="Times New Roman" w:eastAsia="仿宋_GB2312" w:cs="Times New Roman"/>
          <w:sz w:val="32"/>
          <w:szCs w:val="32"/>
          <w:lang w:val="en-US" w:eastAsia="zh-CN"/>
        </w:rPr>
        <w:t>最高不超过</w:t>
      </w:r>
      <w:r>
        <w:rPr>
          <w:rFonts w:hint="eastAsia"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、40万元、30万元、20万元，</w:t>
      </w:r>
      <w:r>
        <w:rPr>
          <w:rFonts w:hint="eastAsia" w:ascii="Times New Roman" w:hAnsi="Times New Roman" w:eastAsia="仿宋_GB2312" w:cs="Times New Roman"/>
          <w:color w:val="auto"/>
          <w:sz w:val="32"/>
          <w:szCs w:val="32"/>
          <w:lang w:val="en-US" w:eastAsia="zh-CN"/>
        </w:rPr>
        <w:t>且享受的市、区贴息补助总额不超过其实际支付银行的利息。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lang w:val="en-US" w:eastAsia="zh-CN"/>
        </w:rPr>
      </w:pPr>
      <w:r>
        <w:rPr>
          <w:rFonts w:hint="eastAsia" w:ascii="仿宋_GB2312" w:hAnsi="仿宋_GB2312" w:eastAsia="仿宋_GB2312" w:cs="仿宋_GB2312"/>
          <w:b/>
          <w:bCs/>
          <w:sz w:val="32"/>
          <w:szCs w:val="32"/>
          <w:highlight w:val="none"/>
          <w:u w:val="none"/>
          <w:lang w:val="en-US" w:eastAsia="zh-CN"/>
        </w:rPr>
        <w:t>2.支持企业并购重组迁入。</w:t>
      </w:r>
      <w:r>
        <w:rPr>
          <w:rFonts w:hint="eastAsia" w:ascii="仿宋_GB2312" w:hAnsi="仿宋_GB2312" w:eastAsia="仿宋_GB2312" w:cs="仿宋_GB2312"/>
          <w:kern w:val="2"/>
          <w:sz w:val="32"/>
          <w:szCs w:val="32"/>
          <w:lang w:val="en-US" w:eastAsia="zh-CN" w:bidi="ar-SA"/>
          <w14:ligatures w14:val="none"/>
        </w:rPr>
        <w:t>积极推动汕头市上市企业围绕产业链并购优质资源，提高企业核心竞争力。对并购市内上下游企业或并购市外上下游企业且被并购方注册地迁入汕头市的，均按实际交易额的5‰给予奖励，单一并购重组项目奖励金额不超过100万元。</w:t>
      </w:r>
    </w:p>
    <w:p>
      <w:pPr>
        <w:keepNext w:val="0"/>
        <w:keepLines w:val="0"/>
        <w:pageBreakBefore w:val="0"/>
        <w:widowControl w:val="0"/>
        <w:numPr>
          <w:ilvl w:val="0"/>
          <w:numId w:val="0"/>
        </w:numPr>
        <w:kinsoku/>
        <w:wordWrap/>
        <w:topLinePunct w:val="0"/>
        <w:bidi w:val="0"/>
        <w:adjustRightInd/>
        <w:snapToGrid/>
        <w:spacing w:line="560" w:lineRule="exact"/>
        <w:ind w:firstLine="642" w:firstLineChars="200"/>
        <w:textAlignment w:val="auto"/>
        <w:rPr>
          <w:rFonts w:hint="eastAsia" w:ascii="仿宋_GB2312" w:eastAsia="仿宋_GB2312" w:hAnsiTheme="minorHAnsi" w:cstheme="minorBidi"/>
          <w:b w:val="0"/>
          <w:bCs w:val="0"/>
          <w:color w:val="auto"/>
          <w:kern w:val="2"/>
          <w:sz w:val="32"/>
          <w:szCs w:val="32"/>
          <w:highlight w:val="none"/>
          <w:lang w:val="en-US" w:eastAsia="zh-CN" w:bidi="ar-SA"/>
          <w14:ligatures w14:val="none"/>
        </w:rPr>
      </w:pPr>
      <w:r>
        <w:rPr>
          <w:rFonts w:hint="eastAsia" w:ascii="仿宋_GB2312" w:hAnsi="仿宋_GB2312" w:eastAsia="仿宋_GB2312" w:cs="仿宋_GB2312"/>
          <w:b/>
          <w:bCs/>
          <w:color w:val="auto"/>
          <w:kern w:val="2"/>
          <w:sz w:val="32"/>
          <w:szCs w:val="32"/>
          <w:highlight w:val="none"/>
          <w:u w:val="none"/>
          <w:lang w:val="en-US" w:eastAsia="zh-CN" w:bidi="ar-SA"/>
          <w14:ligatures w14:val="none"/>
        </w:rPr>
        <w:t>3.支持上市公司加大本地投资。</w:t>
      </w:r>
      <w:r>
        <w:rPr>
          <w:rFonts w:hint="eastAsia" w:ascii="仿宋_GB2312" w:eastAsia="仿宋_GB2312" w:hAnsiTheme="minorHAnsi" w:cstheme="minorBidi"/>
          <w:b w:val="0"/>
          <w:bCs w:val="0"/>
          <w:color w:val="auto"/>
          <w:kern w:val="2"/>
          <w:sz w:val="32"/>
          <w:szCs w:val="32"/>
          <w:highlight w:val="none"/>
          <w:lang w:val="en-US" w:eastAsia="zh-CN" w:bidi="ar-SA"/>
          <w14:ligatures w14:val="none"/>
        </w:rPr>
        <w:t>引导汕头</w:t>
      </w:r>
      <w:r>
        <w:rPr>
          <w:rFonts w:hint="eastAsia" w:ascii="仿宋_GB2312" w:eastAsia="仿宋_GB2312" w:cstheme="minorBidi"/>
          <w:b w:val="0"/>
          <w:bCs w:val="0"/>
          <w:color w:val="auto"/>
          <w:kern w:val="2"/>
          <w:sz w:val="32"/>
          <w:szCs w:val="32"/>
          <w:highlight w:val="none"/>
          <w:lang w:val="en-US" w:eastAsia="zh-CN" w:bidi="ar-SA"/>
          <w14:ligatures w14:val="none"/>
        </w:rPr>
        <w:t>市</w:t>
      </w:r>
      <w:r>
        <w:rPr>
          <w:rFonts w:hint="eastAsia" w:ascii="仿宋_GB2312" w:eastAsia="仿宋_GB2312" w:hAnsiTheme="minorHAnsi" w:cstheme="minorBidi"/>
          <w:b w:val="0"/>
          <w:bCs w:val="0"/>
          <w:color w:val="auto"/>
          <w:kern w:val="2"/>
          <w:sz w:val="32"/>
          <w:szCs w:val="32"/>
          <w:highlight w:val="none"/>
          <w:lang w:val="en-US" w:eastAsia="zh-CN" w:bidi="ar-SA"/>
          <w14:ligatures w14:val="none"/>
        </w:rPr>
        <w:t>上市企业</w:t>
      </w:r>
      <w:r>
        <w:rPr>
          <w:rFonts w:hint="eastAsia" w:ascii="仿宋_GB2312" w:eastAsia="仿宋_GB2312" w:cstheme="minorBidi"/>
          <w:b w:val="0"/>
          <w:bCs w:val="0"/>
          <w:color w:val="auto"/>
          <w:kern w:val="2"/>
          <w:sz w:val="32"/>
          <w:szCs w:val="32"/>
          <w:highlight w:val="none"/>
          <w:lang w:val="en-US" w:eastAsia="zh-CN" w:bidi="ar-SA"/>
          <w14:ligatures w14:val="none"/>
        </w:rPr>
        <w:t>加大在汕头的投资和升级改造</w:t>
      </w:r>
      <w:r>
        <w:rPr>
          <w:rFonts w:hint="eastAsia" w:ascii="仿宋_GB2312" w:eastAsia="仿宋_GB2312" w:hAnsiTheme="minorHAnsi" w:cstheme="minorBidi"/>
          <w:b w:val="0"/>
          <w:bCs w:val="0"/>
          <w:color w:val="auto"/>
          <w:kern w:val="2"/>
          <w:sz w:val="32"/>
          <w:szCs w:val="32"/>
          <w:highlight w:val="none"/>
          <w:lang w:val="en-US" w:eastAsia="zh-CN" w:bidi="ar-SA"/>
          <w14:ligatures w14:val="none"/>
        </w:rPr>
        <w:t>，按照不超过项目实际完成固定资产投资额的</w:t>
      </w:r>
      <w:r>
        <w:rPr>
          <w:rFonts w:hint="eastAsia" w:ascii="仿宋_GB2312" w:eastAsia="仿宋_GB2312" w:cstheme="minorBidi"/>
          <w:b w:val="0"/>
          <w:bCs w:val="0"/>
          <w:color w:val="auto"/>
          <w:kern w:val="2"/>
          <w:sz w:val="32"/>
          <w:szCs w:val="32"/>
          <w:highlight w:val="none"/>
          <w:lang w:val="en-US" w:eastAsia="zh-CN" w:bidi="ar-SA"/>
          <w14:ligatures w14:val="none"/>
        </w:rPr>
        <w:t>10</w:t>
      </w:r>
      <w:r>
        <w:rPr>
          <w:rFonts w:hint="eastAsia" w:ascii="仿宋_GB2312" w:eastAsia="仿宋_GB2312" w:hAnsiTheme="minorHAnsi" w:cstheme="minorBidi"/>
          <w:b w:val="0"/>
          <w:bCs w:val="0"/>
          <w:color w:val="auto"/>
          <w:kern w:val="2"/>
          <w:sz w:val="32"/>
          <w:szCs w:val="32"/>
          <w:highlight w:val="none"/>
          <w:lang w:val="en-US" w:eastAsia="zh-CN" w:bidi="ar-SA"/>
          <w14:ligatures w14:val="none"/>
        </w:rPr>
        <w:t>%给予事后资助，单个项目资助最高不超过</w:t>
      </w:r>
      <w:r>
        <w:rPr>
          <w:rFonts w:hint="eastAsia" w:ascii="仿宋_GB2312" w:eastAsia="仿宋_GB2312" w:cstheme="minorBidi"/>
          <w:b w:val="0"/>
          <w:bCs w:val="0"/>
          <w:color w:val="auto"/>
          <w:kern w:val="2"/>
          <w:sz w:val="32"/>
          <w:szCs w:val="32"/>
          <w:highlight w:val="none"/>
          <w:lang w:val="en-US" w:eastAsia="zh-CN" w:bidi="ar-SA"/>
          <w14:ligatures w14:val="none"/>
        </w:rPr>
        <w:t>1</w:t>
      </w:r>
      <w:r>
        <w:rPr>
          <w:rFonts w:hint="eastAsia" w:ascii="仿宋_GB2312" w:eastAsia="仿宋_GB2312" w:hAnsiTheme="minorHAnsi" w:cstheme="minorBidi"/>
          <w:b w:val="0"/>
          <w:bCs w:val="0"/>
          <w:color w:val="auto"/>
          <w:kern w:val="2"/>
          <w:sz w:val="32"/>
          <w:szCs w:val="32"/>
          <w:highlight w:val="none"/>
          <w:lang w:val="en-US" w:eastAsia="zh-CN" w:bidi="ar-SA"/>
          <w14:ligatures w14:val="none"/>
        </w:rPr>
        <w:t>00万元</w:t>
      </w:r>
      <w:r>
        <w:rPr>
          <w:rFonts w:hint="eastAsia" w:ascii="仿宋_GB2312" w:eastAsia="仿宋_GB2312" w:cstheme="minorBidi"/>
          <w:b w:val="0"/>
          <w:bCs w:val="0"/>
          <w:color w:val="auto"/>
          <w:kern w:val="2"/>
          <w:sz w:val="32"/>
          <w:szCs w:val="32"/>
          <w:highlight w:val="none"/>
          <w:lang w:val="en-US" w:eastAsia="zh-CN" w:bidi="ar-SA"/>
          <w14:ligatures w14:val="none"/>
        </w:rPr>
        <w:t>。深圳-汕头产业合作园区上市企业已享受指挥部支持企业扩大投资政策的，按照就高不重复原则执行</w:t>
      </w:r>
      <w:r>
        <w:rPr>
          <w:rFonts w:hint="eastAsia" w:ascii="仿宋_GB2312" w:eastAsia="仿宋_GB2312" w:hAnsiTheme="minorHAnsi" w:cstheme="minorBidi"/>
          <w:b w:val="0"/>
          <w:bCs w:val="0"/>
          <w:color w:val="auto"/>
          <w:kern w:val="2"/>
          <w:sz w:val="32"/>
          <w:szCs w:val="32"/>
          <w:highlight w:val="none"/>
          <w:lang w:val="en-US" w:eastAsia="zh-CN" w:bidi="ar-SA"/>
          <w14:ligatures w14:val="none"/>
        </w:rPr>
        <w:t>。</w:t>
      </w:r>
    </w:p>
    <w:p>
      <w:pPr>
        <w:pStyle w:val="2"/>
        <w:spacing w:line="560" w:lineRule="exact"/>
        <w:ind w:left="0" w:leftChars="0" w:firstLine="642" w:firstLineChars="200"/>
        <w:rPr>
          <w:rFonts w:hint="default" w:ascii="Calibri" w:hAnsi="Calibri" w:eastAsiaTheme="minorEastAsia" w:cstheme="minorBidi"/>
          <w:b w:val="0"/>
          <w:bCs w:val="0"/>
          <w:kern w:val="2"/>
          <w:sz w:val="21"/>
          <w:szCs w:val="24"/>
          <w:lang w:val="en-US" w:eastAsia="zh-CN" w:bidi="ar-SA"/>
          <w14:ligatures w14:val="none"/>
        </w:rPr>
      </w:pPr>
      <w:r>
        <w:rPr>
          <w:rFonts w:hint="eastAsia" w:ascii="仿宋_GB2312" w:hAnsi="仿宋_GB2312" w:eastAsia="仿宋_GB2312" w:cs="仿宋_GB2312"/>
          <w:b/>
          <w:bCs/>
          <w:kern w:val="2"/>
          <w:sz w:val="32"/>
          <w:szCs w:val="32"/>
          <w:highlight w:val="none"/>
          <w:u w:val="none"/>
          <w:lang w:val="en-US" w:eastAsia="zh-CN" w:bidi="ar-SA"/>
          <w14:ligatures w14:val="none"/>
        </w:rPr>
        <w:t>4.支持上市以及上市后备企业供应链融资。</w:t>
      </w:r>
      <w:r>
        <w:rPr>
          <w:rFonts w:hint="default" w:ascii="Times New Roman" w:hAnsi="Times New Roman" w:eastAsia="仿宋_GB2312" w:cs="Times New Roman"/>
          <w:sz w:val="32"/>
          <w:szCs w:val="32"/>
          <w:lang w:val="en-US" w:eastAsia="zh-CN"/>
        </w:rPr>
        <w:t>注册地在汕头市的</w:t>
      </w:r>
      <w:r>
        <w:rPr>
          <w:rFonts w:hint="eastAsia" w:ascii="Times New Roman" w:hAnsi="Times New Roman" w:eastAsia="仿宋_GB2312" w:cs="Times New Roman"/>
          <w:sz w:val="32"/>
          <w:szCs w:val="32"/>
          <w:lang w:val="en-US" w:eastAsia="zh-CN"/>
        </w:rPr>
        <w:t>A股、H股、新三板上市企业以及上市后备企业通过融资租赁公司以及商业保理公司开展的融资租赁或商业保理业务获得融资的，最高按照实际支付融资费用的70%给予补贴，每家企业该类补助最高不超过100万元。</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楷体_GB2312" w:hAnsi="楷体_GB2312" w:eastAsia="楷体_GB2312" w:cs="楷体_GB2312"/>
          <w:b/>
          <w:bCs/>
          <w:kern w:val="2"/>
          <w:sz w:val="32"/>
          <w:szCs w:val="32"/>
          <w:highlight w:val="none"/>
          <w:u w:val="none"/>
          <w:lang w:val="en-US" w:eastAsia="zh-CN" w:bidi="ar-SA"/>
          <w14:ligatures w14:val="none"/>
        </w:rPr>
      </w:pPr>
      <w:r>
        <w:rPr>
          <w:rFonts w:hint="eastAsia" w:ascii="楷体_GB2312" w:hAnsi="楷体_GB2312" w:eastAsia="楷体_GB2312" w:cs="楷体_GB2312"/>
          <w:b/>
          <w:bCs/>
          <w:kern w:val="2"/>
          <w:sz w:val="32"/>
          <w:szCs w:val="32"/>
          <w:highlight w:val="none"/>
          <w:u w:val="none"/>
          <w:lang w:val="en-US" w:eastAsia="zh-CN" w:bidi="ar-SA"/>
          <w14:ligatures w14:val="none"/>
        </w:rPr>
        <w:t>（二）深化深汕金融领域合作，推动企业协同发展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推动辖内上市</w:t>
      </w:r>
      <w:r>
        <w:rPr>
          <w:rFonts w:hint="eastAsia" w:ascii="仿宋_GB2312" w:hAnsi="仿宋_GB2312" w:eastAsia="仿宋_GB2312" w:cs="仿宋_GB2312"/>
          <w:b/>
          <w:bCs/>
          <w:color w:val="auto"/>
          <w:sz w:val="32"/>
          <w:szCs w:val="32"/>
          <w:highlight w:val="none"/>
          <w:lang w:val="en-US" w:eastAsia="zh-CN"/>
        </w:rPr>
        <w:t>企业</w:t>
      </w:r>
      <w:r>
        <w:rPr>
          <w:rFonts w:hint="eastAsia" w:ascii="仿宋_GB2312" w:hAnsi="仿宋_GB2312" w:eastAsia="仿宋_GB2312" w:cs="仿宋_GB2312"/>
          <w:b/>
          <w:bCs/>
          <w:color w:val="auto"/>
          <w:sz w:val="32"/>
          <w:szCs w:val="32"/>
          <w:highlight w:val="none"/>
        </w:rPr>
        <w:t>免费入驻“反向飞地”。</w:t>
      </w:r>
      <w:r>
        <w:rPr>
          <w:rFonts w:hint="eastAsia" w:ascii="仿宋_GB2312" w:hAnsi="仿宋_GB2312" w:eastAsia="仿宋_GB2312" w:cs="仿宋_GB2312"/>
          <w:sz w:val="32"/>
          <w:szCs w:val="32"/>
          <w:lang w:val="en-US" w:eastAsia="zh-CN"/>
        </w:rPr>
        <w:t>支持上市企业在“坪山-龙湖”“光明-金平”“宝安-澄海”</w:t>
      </w:r>
      <w:r>
        <w:rPr>
          <w:rFonts w:hint="eastAsia" w:ascii="仿宋_GB2312" w:hAnsi="仿宋_GB2312" w:eastAsia="仿宋_GB2312" w:cs="仿宋_GB2312"/>
          <w:sz w:val="32"/>
          <w:szCs w:val="32"/>
          <w:vertAlign w:val="baseline"/>
          <w:lang w:val="en-US" w:eastAsia="zh-CN"/>
        </w:rPr>
        <w:t>等</w:t>
      </w:r>
      <w:r>
        <w:rPr>
          <w:rFonts w:hint="eastAsia" w:ascii="仿宋_GB2312" w:hAnsi="仿宋_GB2312" w:eastAsia="仿宋_GB2312" w:cs="仿宋_GB2312"/>
          <w:sz w:val="32"/>
          <w:szCs w:val="32"/>
          <w:lang w:val="en-US" w:eastAsia="zh-CN"/>
        </w:rPr>
        <w:t>7个</w:t>
      </w:r>
      <w:r>
        <w:rPr>
          <w:rFonts w:hint="eastAsia" w:ascii="仿宋_GB2312" w:hAnsi="仿宋_GB2312" w:eastAsia="仿宋_GB2312" w:cs="仿宋_GB2312"/>
          <w:sz w:val="32"/>
          <w:szCs w:val="32"/>
          <w:vertAlign w:val="baseline"/>
          <w:lang w:val="en-US" w:eastAsia="zh-CN"/>
        </w:rPr>
        <w:t>产业协同发展基地无偿</w:t>
      </w:r>
      <w:r>
        <w:rPr>
          <w:rFonts w:hint="eastAsia" w:ascii="仿宋_GB2312" w:hAnsi="仿宋_GB2312" w:eastAsia="仿宋_GB2312" w:cs="仿宋_GB2312"/>
          <w:sz w:val="32"/>
          <w:szCs w:val="32"/>
          <w:lang w:val="en-US" w:eastAsia="zh-CN"/>
        </w:rPr>
        <w:t>使用</w:t>
      </w:r>
      <w:r>
        <w:rPr>
          <w:rFonts w:hint="eastAsia" w:ascii="仿宋_GB2312" w:hAnsi="仿宋_GB2312" w:eastAsia="仿宋_GB2312" w:cs="仿宋_GB2312"/>
          <w:sz w:val="32"/>
          <w:szCs w:val="32"/>
        </w:rPr>
        <w:t>办公空间或展示空间，开展产品应用、体验、展示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助力企业对接实验室、创新机构、专业人才、金融资本等资源，为企业</w:t>
      </w:r>
      <w:r>
        <w:rPr>
          <w:rFonts w:hint="eastAsia" w:ascii="仿宋_GB2312" w:hAnsi="仿宋_GB2312" w:eastAsia="仿宋_GB2312" w:cs="仿宋_GB2312"/>
          <w:sz w:val="32"/>
          <w:szCs w:val="32"/>
          <w:lang w:val="en-US" w:eastAsia="zh-CN"/>
        </w:rPr>
        <w:t>研发创新</w:t>
      </w:r>
      <w:r>
        <w:rPr>
          <w:rFonts w:hint="eastAsia" w:ascii="仿宋_GB2312" w:hAnsi="仿宋_GB2312" w:eastAsia="仿宋_GB2312" w:cs="仿宋_GB2312"/>
          <w:sz w:val="32"/>
          <w:szCs w:val="32"/>
        </w:rPr>
        <w:t>、转型升级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品牌提升提供支撑。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楷体_GB2312" w:hAnsi="楷体_GB2312" w:eastAsia="楷体_GB2312" w:cs="楷体_GB2312"/>
          <w:kern w:val="2"/>
          <w:sz w:val="32"/>
          <w:szCs w:val="32"/>
          <w:highlight w:val="none"/>
          <w:u w:val="none"/>
          <w:lang w:val="en-US" w:eastAsia="zh-CN" w:bidi="ar-SA"/>
          <w14:ligatures w14:val="none"/>
        </w:rPr>
      </w:pPr>
      <w:r>
        <w:rPr>
          <w:rFonts w:hint="eastAsia" w:ascii="仿宋_GB2312" w:hAnsi="仿宋_GB2312" w:eastAsia="仿宋_GB2312" w:cs="仿宋_GB2312"/>
          <w:b/>
          <w:bCs/>
          <w:color w:val="auto"/>
          <w:sz w:val="32"/>
          <w:szCs w:val="32"/>
          <w:highlight w:val="none"/>
          <w:u w:val="none"/>
          <w:lang w:val="en-US" w:eastAsia="zh-CN"/>
        </w:rPr>
        <w:t>2.提升依法合规经营管理水平。</w:t>
      </w:r>
      <w:r>
        <w:rPr>
          <w:rFonts w:hint="eastAsia" w:ascii="仿宋_GB2312" w:eastAsia="仿宋_GB2312"/>
          <w:b w:val="0"/>
          <w:bCs w:val="0"/>
          <w:sz w:val="32"/>
          <w:szCs w:val="32"/>
          <w:highlight w:val="none"/>
          <w:lang w:val="en-US" w:eastAsia="zh-CN"/>
        </w:rPr>
        <w:t>加强与深交所等机构合作，安排培训经费，定期组织上市公司、上市后备企业高管以及相关职能部门业务骨干进行系统化合规管理培训。</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3.搭建投融资对接平台。</w:t>
      </w:r>
      <w:r>
        <w:rPr>
          <w:rFonts w:hint="eastAsia" w:ascii="仿宋_GB2312" w:hAnsi="仿宋_GB2312" w:eastAsia="仿宋_GB2312" w:cs="仿宋_GB2312"/>
          <w:sz w:val="32"/>
          <w:szCs w:val="32"/>
          <w:lang w:val="en-US" w:eastAsia="zh-CN"/>
        </w:rPr>
        <w:t>支持建设具有汕头特色优势的项目路演平台，引导股权投资机构及行业协会举办股权投资领域路演活动，加强产融对接。支持搭建政府部门、股权投资机构与实体产业三方投融资信息对接平台，推动平台公司化、常态化运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highlight w:val="none"/>
          <w:u w:val="none"/>
          <w:lang w:val="en-US" w:eastAsia="zh-CN"/>
        </w:rPr>
      </w:pPr>
      <w:r>
        <w:rPr>
          <w:rFonts w:hint="eastAsia" w:ascii="仿宋_GB2312" w:hAnsi="仿宋_GB2312" w:eastAsia="仿宋_GB2312" w:cs="仿宋_GB2312"/>
          <w:b/>
          <w:bCs/>
          <w:kern w:val="2"/>
          <w:sz w:val="32"/>
          <w:szCs w:val="32"/>
          <w:highlight w:val="none"/>
          <w:u w:val="none"/>
          <w:lang w:val="en-US" w:eastAsia="zh-CN" w:bidi="ar-SA"/>
          <w14:ligatures w14:val="none"/>
        </w:rPr>
        <w:t>4.</w:t>
      </w:r>
      <w:r>
        <w:rPr>
          <w:rFonts w:hint="eastAsia" w:ascii="仿宋_GB2312" w:hAnsi="仿宋_GB2312" w:eastAsia="仿宋_GB2312" w:cs="仿宋_GB2312"/>
          <w:b/>
          <w:bCs/>
          <w:kern w:val="2"/>
          <w:sz w:val="32"/>
          <w:szCs w:val="32"/>
          <w:lang w:val="en-US" w:eastAsia="zh-CN" w:bidi="ar-SA"/>
          <w14:ligatures w14:val="none"/>
        </w:rPr>
        <w:t>深化深汕两地企业多领域合作。</w:t>
      </w:r>
      <w:r>
        <w:rPr>
          <w:rFonts w:hint="eastAsia" w:ascii="仿宋_GB2312" w:hAnsi="仿宋_GB2312" w:eastAsia="仿宋_GB2312" w:cs="仿宋_GB2312"/>
          <w:sz w:val="32"/>
          <w:szCs w:val="32"/>
          <w:lang w:val="en-US" w:eastAsia="zh-CN"/>
        </w:rPr>
        <w:t>发挥两地上市企业协会桥梁纽带作用，上市企业、后备企业抢抓两市深化对口帮扶协作机遇，用好用足两地市区两级优惠政策，加强在新能源、新材料、新一代电子信息、纺织服装、玩具创意、生物医药等领域合作</w:t>
      </w:r>
      <w:r>
        <w:rPr>
          <w:rFonts w:hint="eastAsia" w:ascii="仿宋_GB2312" w:hAnsi="仿宋_GB2312" w:eastAsia="仿宋_GB2312" w:cs="仿宋_GB2312"/>
          <w:sz w:val="32"/>
          <w:szCs w:val="20"/>
          <w:u w:val="none"/>
        </w:rPr>
        <w:t>。</w:t>
      </w:r>
    </w:p>
    <w:p>
      <w:pPr>
        <w:pStyle w:val="1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三、保障措施</w:t>
      </w:r>
    </w:p>
    <w:p>
      <w:pPr>
        <w:pStyle w:val="1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kern w:val="2"/>
          <w:sz w:val="32"/>
          <w:szCs w:val="32"/>
          <w:lang w:bidi="ar-SA"/>
        </w:rPr>
      </w:pPr>
      <w:r>
        <w:rPr>
          <w:rFonts w:hint="eastAsia" w:ascii="楷体_GB2312" w:hAnsi="楷体_GB2312" w:eastAsia="楷体_GB2312" w:cs="楷体_GB2312"/>
          <w:b/>
          <w:bCs/>
          <w:kern w:val="0"/>
          <w:sz w:val="32"/>
          <w:szCs w:val="32"/>
          <w:lang w:val="en-US" w:eastAsia="zh-CN" w:bidi="ar"/>
        </w:rPr>
        <w:t>（一）加强组织保障</w:t>
      </w:r>
      <w:r>
        <w:rPr>
          <w:rFonts w:hint="eastAsia" w:ascii="楷体_GB2312" w:hAnsi="楷体_GB2312" w:eastAsia="楷体_GB2312" w:cs="楷体_GB2312"/>
          <w:kern w:val="0"/>
          <w:sz w:val="32"/>
          <w:szCs w:val="32"/>
          <w:lang w:val="en-US" w:eastAsia="zh-CN" w:bidi="ar"/>
        </w:rPr>
        <w:t>。</w:t>
      </w:r>
      <w:r>
        <w:rPr>
          <w:rFonts w:hint="eastAsia" w:ascii="仿宋_GB2312" w:hAnsi="仿宋_GB2312" w:eastAsia="仿宋_GB2312" w:cs="仿宋_GB2312"/>
          <w:kern w:val="2"/>
          <w:sz w:val="32"/>
          <w:szCs w:val="32"/>
          <w:lang w:val="en-US" w:eastAsia="zh-CN" w:bidi="ar-SA"/>
        </w:rPr>
        <w:t>深圳对口帮扶协作汕头指挥部负责筹集本措施专项奖补资金，并安排奖补资金预算计划、总量控制、奖补比例折算兑现及划拨等。汕头市金融工作局负责制定本方案有关细化申报文件，组织企业进行项目申报、审核，资金下达拨付。</w:t>
      </w:r>
    </w:p>
    <w:p>
      <w:pPr>
        <w:pStyle w:val="1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0"/>
          <w:sz w:val="32"/>
          <w:szCs w:val="32"/>
          <w:lang w:val="en-US" w:eastAsia="zh-CN" w:bidi="ar"/>
        </w:rPr>
        <w:t>（二）加强专项资金拨付与监管。</w:t>
      </w:r>
      <w:r>
        <w:rPr>
          <w:rFonts w:hint="eastAsia" w:ascii="仿宋_GB2312" w:hAnsi="仿宋_GB2312" w:eastAsia="仿宋_GB2312" w:cs="仿宋_GB2312"/>
          <w:kern w:val="2"/>
          <w:sz w:val="32"/>
          <w:szCs w:val="32"/>
          <w:lang w:val="en-US" w:eastAsia="zh-CN" w:bidi="ar-SA"/>
        </w:rPr>
        <w:t>深圳对口帮扶协作汕头指挥部将专项资金直接拨付至汕头市金融工作局，再由汕头市金融工作局将奖补资金拨付至企业。共同加强专项资金监管，若经查实企业出现骗取奖补等情况，或发生安全事故、环境污染事件等重大责任事故，将取消其奖补资格，并追回已发放的奖补。对构成失信行为的，纳入失信企业名单。</w:t>
      </w:r>
    </w:p>
    <w:p>
      <w:pPr>
        <w:pStyle w:val="1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0"/>
          <w:sz w:val="32"/>
          <w:szCs w:val="32"/>
          <w:lang w:val="en-US" w:eastAsia="zh-CN" w:bidi="ar"/>
        </w:rPr>
        <w:t>（三）其他。</w:t>
      </w:r>
      <w:r>
        <w:rPr>
          <w:rFonts w:hint="eastAsia" w:ascii="仿宋_GB2312" w:hAnsi="仿宋_GB2312" w:eastAsia="仿宋_GB2312" w:cs="仿宋_GB2312"/>
          <w:kern w:val="2"/>
          <w:sz w:val="32"/>
          <w:szCs w:val="32"/>
          <w:lang w:val="en-US" w:eastAsia="zh-CN" w:bidi="ar-SA"/>
        </w:rPr>
        <w:t>本方案由深圳对口帮扶协作汕头指挥部会同汕头市金融工作局及相关部门负责解释。</w:t>
      </w:r>
    </w:p>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0"/>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YzAwY2MzNzY1N2I1OWIxNGM3YjIyYTBkMzJlMWQifQ=="/>
  </w:docVars>
  <w:rsids>
    <w:rsidRoot w:val="00000000"/>
    <w:rsid w:val="00C621A8"/>
    <w:rsid w:val="00EA058C"/>
    <w:rsid w:val="01050F22"/>
    <w:rsid w:val="012F5F9F"/>
    <w:rsid w:val="01527EDF"/>
    <w:rsid w:val="017240DE"/>
    <w:rsid w:val="0196601E"/>
    <w:rsid w:val="01B464A4"/>
    <w:rsid w:val="02225B04"/>
    <w:rsid w:val="02664991"/>
    <w:rsid w:val="032B09E8"/>
    <w:rsid w:val="032B6C3A"/>
    <w:rsid w:val="033C2BF5"/>
    <w:rsid w:val="03AA5DB1"/>
    <w:rsid w:val="03F37758"/>
    <w:rsid w:val="040F20B8"/>
    <w:rsid w:val="04787A5B"/>
    <w:rsid w:val="04891E6A"/>
    <w:rsid w:val="04B70785"/>
    <w:rsid w:val="04D33472"/>
    <w:rsid w:val="05616943"/>
    <w:rsid w:val="05713FFC"/>
    <w:rsid w:val="05F6352F"/>
    <w:rsid w:val="065B3392"/>
    <w:rsid w:val="06A05249"/>
    <w:rsid w:val="06D73361"/>
    <w:rsid w:val="0748600C"/>
    <w:rsid w:val="0781151E"/>
    <w:rsid w:val="078828AD"/>
    <w:rsid w:val="07D94EB6"/>
    <w:rsid w:val="084762C4"/>
    <w:rsid w:val="089D2EAF"/>
    <w:rsid w:val="08A454C4"/>
    <w:rsid w:val="09150170"/>
    <w:rsid w:val="0926237D"/>
    <w:rsid w:val="094620D8"/>
    <w:rsid w:val="095E1B17"/>
    <w:rsid w:val="09D26061"/>
    <w:rsid w:val="09D75426"/>
    <w:rsid w:val="0A0D7099"/>
    <w:rsid w:val="0A0F696E"/>
    <w:rsid w:val="0A621BBD"/>
    <w:rsid w:val="0A6E5D8A"/>
    <w:rsid w:val="0AD32091"/>
    <w:rsid w:val="0AD6392F"/>
    <w:rsid w:val="0ADD081A"/>
    <w:rsid w:val="0BB21CA6"/>
    <w:rsid w:val="0BD7795F"/>
    <w:rsid w:val="0C25691C"/>
    <w:rsid w:val="0C590374"/>
    <w:rsid w:val="0CC47EE3"/>
    <w:rsid w:val="0D7336B7"/>
    <w:rsid w:val="0DC7755F"/>
    <w:rsid w:val="0E0A5DCA"/>
    <w:rsid w:val="0E5139F9"/>
    <w:rsid w:val="0E7E2314"/>
    <w:rsid w:val="0EB67D00"/>
    <w:rsid w:val="0ED40186"/>
    <w:rsid w:val="0F4F5A5E"/>
    <w:rsid w:val="10093E5F"/>
    <w:rsid w:val="101271B8"/>
    <w:rsid w:val="105A46BB"/>
    <w:rsid w:val="10E36DA6"/>
    <w:rsid w:val="11B85B3D"/>
    <w:rsid w:val="12045226"/>
    <w:rsid w:val="12280F14"/>
    <w:rsid w:val="124A70DD"/>
    <w:rsid w:val="12B502CE"/>
    <w:rsid w:val="12E268C0"/>
    <w:rsid w:val="13631AD8"/>
    <w:rsid w:val="137D2B9A"/>
    <w:rsid w:val="14553B17"/>
    <w:rsid w:val="15064E11"/>
    <w:rsid w:val="152A40B0"/>
    <w:rsid w:val="15853F88"/>
    <w:rsid w:val="159B7C4F"/>
    <w:rsid w:val="15B17473"/>
    <w:rsid w:val="15B64A89"/>
    <w:rsid w:val="15D373E9"/>
    <w:rsid w:val="161F262E"/>
    <w:rsid w:val="16534086"/>
    <w:rsid w:val="16C64858"/>
    <w:rsid w:val="17092996"/>
    <w:rsid w:val="17570BA1"/>
    <w:rsid w:val="176D7083"/>
    <w:rsid w:val="17B9616B"/>
    <w:rsid w:val="17DA291E"/>
    <w:rsid w:val="181810E3"/>
    <w:rsid w:val="185760AF"/>
    <w:rsid w:val="18DA6CE0"/>
    <w:rsid w:val="191E6BCD"/>
    <w:rsid w:val="19404D95"/>
    <w:rsid w:val="1A8567D8"/>
    <w:rsid w:val="1A903AFB"/>
    <w:rsid w:val="1AA2738A"/>
    <w:rsid w:val="1AAB623F"/>
    <w:rsid w:val="1AEB58D9"/>
    <w:rsid w:val="1B1A7868"/>
    <w:rsid w:val="1B356956"/>
    <w:rsid w:val="1B6034CD"/>
    <w:rsid w:val="1B6F1962"/>
    <w:rsid w:val="1BC53330"/>
    <w:rsid w:val="1C5446B4"/>
    <w:rsid w:val="1CAD0994"/>
    <w:rsid w:val="1CC06435"/>
    <w:rsid w:val="1CE26164"/>
    <w:rsid w:val="1D686669"/>
    <w:rsid w:val="1D8D60CF"/>
    <w:rsid w:val="1E263ACB"/>
    <w:rsid w:val="1E766B63"/>
    <w:rsid w:val="1EA929A4"/>
    <w:rsid w:val="1EC329D9"/>
    <w:rsid w:val="1F72557D"/>
    <w:rsid w:val="1F9C6A9E"/>
    <w:rsid w:val="1FC102B2"/>
    <w:rsid w:val="1FE8583F"/>
    <w:rsid w:val="1FFDC33F"/>
    <w:rsid w:val="202D76F6"/>
    <w:rsid w:val="20670E5A"/>
    <w:rsid w:val="206A094A"/>
    <w:rsid w:val="20B816B5"/>
    <w:rsid w:val="20DB53A4"/>
    <w:rsid w:val="20E97AC1"/>
    <w:rsid w:val="217D46AD"/>
    <w:rsid w:val="21A67760"/>
    <w:rsid w:val="21FE134A"/>
    <w:rsid w:val="226D4721"/>
    <w:rsid w:val="229A593D"/>
    <w:rsid w:val="22AC349C"/>
    <w:rsid w:val="22F56BF1"/>
    <w:rsid w:val="22FF7A6F"/>
    <w:rsid w:val="23164DB9"/>
    <w:rsid w:val="238910E7"/>
    <w:rsid w:val="23BD6612"/>
    <w:rsid w:val="23BE3486"/>
    <w:rsid w:val="23F944BF"/>
    <w:rsid w:val="24673FC5"/>
    <w:rsid w:val="246B6A3F"/>
    <w:rsid w:val="24AA3A0B"/>
    <w:rsid w:val="25140E84"/>
    <w:rsid w:val="251F61A7"/>
    <w:rsid w:val="25331C52"/>
    <w:rsid w:val="25642788"/>
    <w:rsid w:val="256D164D"/>
    <w:rsid w:val="25C24D84"/>
    <w:rsid w:val="25FF38E2"/>
    <w:rsid w:val="26192BF6"/>
    <w:rsid w:val="26527EB6"/>
    <w:rsid w:val="26695200"/>
    <w:rsid w:val="268B161A"/>
    <w:rsid w:val="26926505"/>
    <w:rsid w:val="271509C6"/>
    <w:rsid w:val="279938C3"/>
    <w:rsid w:val="27B0758A"/>
    <w:rsid w:val="27F05BD9"/>
    <w:rsid w:val="28536F86"/>
    <w:rsid w:val="287A1946"/>
    <w:rsid w:val="28844573"/>
    <w:rsid w:val="289E3886"/>
    <w:rsid w:val="28A8200F"/>
    <w:rsid w:val="29695C42"/>
    <w:rsid w:val="29791BFE"/>
    <w:rsid w:val="299B7DC6"/>
    <w:rsid w:val="29FF0355"/>
    <w:rsid w:val="2A067935"/>
    <w:rsid w:val="2A522B7B"/>
    <w:rsid w:val="2A5F1BC6"/>
    <w:rsid w:val="2A6444C5"/>
    <w:rsid w:val="2ACD0453"/>
    <w:rsid w:val="2AF754D0"/>
    <w:rsid w:val="2AFA4C71"/>
    <w:rsid w:val="2B4E755B"/>
    <w:rsid w:val="2BB533C1"/>
    <w:rsid w:val="2C2045B2"/>
    <w:rsid w:val="2C640943"/>
    <w:rsid w:val="2C8B5ED0"/>
    <w:rsid w:val="2CAD22EA"/>
    <w:rsid w:val="2D095047"/>
    <w:rsid w:val="2DA01E4F"/>
    <w:rsid w:val="2DCF6290"/>
    <w:rsid w:val="2DD6761F"/>
    <w:rsid w:val="2DF31F7F"/>
    <w:rsid w:val="2E8E3B5D"/>
    <w:rsid w:val="2EFF6701"/>
    <w:rsid w:val="2FF7009F"/>
    <w:rsid w:val="30395C43"/>
    <w:rsid w:val="30F57DBC"/>
    <w:rsid w:val="310B5831"/>
    <w:rsid w:val="31232B7B"/>
    <w:rsid w:val="314A45AB"/>
    <w:rsid w:val="317E24A7"/>
    <w:rsid w:val="318409CB"/>
    <w:rsid w:val="31A0241D"/>
    <w:rsid w:val="32180206"/>
    <w:rsid w:val="32472899"/>
    <w:rsid w:val="32877139"/>
    <w:rsid w:val="32F522F5"/>
    <w:rsid w:val="33064502"/>
    <w:rsid w:val="33466FF4"/>
    <w:rsid w:val="335C6818"/>
    <w:rsid w:val="33694A91"/>
    <w:rsid w:val="338A5133"/>
    <w:rsid w:val="33BF2903"/>
    <w:rsid w:val="343706EB"/>
    <w:rsid w:val="34761214"/>
    <w:rsid w:val="34FF56AD"/>
    <w:rsid w:val="35004F81"/>
    <w:rsid w:val="352B0250"/>
    <w:rsid w:val="355E6877"/>
    <w:rsid w:val="35977EFB"/>
    <w:rsid w:val="35E328D9"/>
    <w:rsid w:val="36DE12F2"/>
    <w:rsid w:val="377A101B"/>
    <w:rsid w:val="37905E54"/>
    <w:rsid w:val="37E62B54"/>
    <w:rsid w:val="380F5C07"/>
    <w:rsid w:val="386C3059"/>
    <w:rsid w:val="38A04AB1"/>
    <w:rsid w:val="38A071A7"/>
    <w:rsid w:val="395B30CE"/>
    <w:rsid w:val="39FA48AC"/>
    <w:rsid w:val="3A445910"/>
    <w:rsid w:val="3A4F2C33"/>
    <w:rsid w:val="3A824DB6"/>
    <w:rsid w:val="3A8F302F"/>
    <w:rsid w:val="3AC802EF"/>
    <w:rsid w:val="3ACC4283"/>
    <w:rsid w:val="3B117EE8"/>
    <w:rsid w:val="3B143534"/>
    <w:rsid w:val="3B5D137F"/>
    <w:rsid w:val="3BC1190E"/>
    <w:rsid w:val="3BC431AC"/>
    <w:rsid w:val="3BDC5BFC"/>
    <w:rsid w:val="3BFD426F"/>
    <w:rsid w:val="3C2F4ACA"/>
    <w:rsid w:val="3C460065"/>
    <w:rsid w:val="3C591B47"/>
    <w:rsid w:val="3C6F136A"/>
    <w:rsid w:val="3C7E15AD"/>
    <w:rsid w:val="3CC72F54"/>
    <w:rsid w:val="3D08531B"/>
    <w:rsid w:val="3D127F47"/>
    <w:rsid w:val="3D2F28A7"/>
    <w:rsid w:val="3DAE5EC2"/>
    <w:rsid w:val="3E0E6961"/>
    <w:rsid w:val="3E377C66"/>
    <w:rsid w:val="3E9F580B"/>
    <w:rsid w:val="3EAB0654"/>
    <w:rsid w:val="3F4A5777"/>
    <w:rsid w:val="3FB5178A"/>
    <w:rsid w:val="40271F5C"/>
    <w:rsid w:val="40442B0E"/>
    <w:rsid w:val="40573164"/>
    <w:rsid w:val="408E5B37"/>
    <w:rsid w:val="409A272E"/>
    <w:rsid w:val="40CB6D8B"/>
    <w:rsid w:val="40DA6FCE"/>
    <w:rsid w:val="41171FD0"/>
    <w:rsid w:val="41196FB9"/>
    <w:rsid w:val="413D1A37"/>
    <w:rsid w:val="41597EF3"/>
    <w:rsid w:val="4215030D"/>
    <w:rsid w:val="4253528A"/>
    <w:rsid w:val="42537038"/>
    <w:rsid w:val="42666D6B"/>
    <w:rsid w:val="4326474D"/>
    <w:rsid w:val="433B01F8"/>
    <w:rsid w:val="439711A6"/>
    <w:rsid w:val="448B0D0B"/>
    <w:rsid w:val="456357E4"/>
    <w:rsid w:val="45C142B9"/>
    <w:rsid w:val="45F34DBA"/>
    <w:rsid w:val="460637B5"/>
    <w:rsid w:val="4627559F"/>
    <w:rsid w:val="467D0B27"/>
    <w:rsid w:val="4682613E"/>
    <w:rsid w:val="470465C2"/>
    <w:rsid w:val="471E5E67"/>
    <w:rsid w:val="47925F0D"/>
    <w:rsid w:val="47A10846"/>
    <w:rsid w:val="4851401A"/>
    <w:rsid w:val="48671147"/>
    <w:rsid w:val="488937B4"/>
    <w:rsid w:val="4941408E"/>
    <w:rsid w:val="49995C78"/>
    <w:rsid w:val="49CA5E32"/>
    <w:rsid w:val="49D97E23"/>
    <w:rsid w:val="49DF11B1"/>
    <w:rsid w:val="49E52C6C"/>
    <w:rsid w:val="4A2F038B"/>
    <w:rsid w:val="4A3E237C"/>
    <w:rsid w:val="4A653DAC"/>
    <w:rsid w:val="4A82670C"/>
    <w:rsid w:val="4A8812D4"/>
    <w:rsid w:val="4A8E50B1"/>
    <w:rsid w:val="4AD36F68"/>
    <w:rsid w:val="4AEC627C"/>
    <w:rsid w:val="4AF869CF"/>
    <w:rsid w:val="4B0B4954"/>
    <w:rsid w:val="4B3027D5"/>
    <w:rsid w:val="4B4340EE"/>
    <w:rsid w:val="4B4D6D1A"/>
    <w:rsid w:val="4C4A14AC"/>
    <w:rsid w:val="4C5E6D05"/>
    <w:rsid w:val="4C806C7C"/>
    <w:rsid w:val="4CC36B68"/>
    <w:rsid w:val="4D027691"/>
    <w:rsid w:val="4D090A1F"/>
    <w:rsid w:val="4D1D44CA"/>
    <w:rsid w:val="4D8B3B2A"/>
    <w:rsid w:val="4DF7662C"/>
    <w:rsid w:val="4E0062C6"/>
    <w:rsid w:val="4E4F6905"/>
    <w:rsid w:val="4EB470B0"/>
    <w:rsid w:val="4EE71234"/>
    <w:rsid w:val="4F363F69"/>
    <w:rsid w:val="4FD23C92"/>
    <w:rsid w:val="4FD35314"/>
    <w:rsid w:val="4FF736F9"/>
    <w:rsid w:val="501A73E7"/>
    <w:rsid w:val="50250266"/>
    <w:rsid w:val="505A5A36"/>
    <w:rsid w:val="50C11611"/>
    <w:rsid w:val="510559A1"/>
    <w:rsid w:val="51A46F68"/>
    <w:rsid w:val="51F577C4"/>
    <w:rsid w:val="52432C25"/>
    <w:rsid w:val="52C541F6"/>
    <w:rsid w:val="535D7D17"/>
    <w:rsid w:val="53670B95"/>
    <w:rsid w:val="53C6157D"/>
    <w:rsid w:val="53D14261"/>
    <w:rsid w:val="53D578AD"/>
    <w:rsid w:val="5472334E"/>
    <w:rsid w:val="54CD4A28"/>
    <w:rsid w:val="54CD67D6"/>
    <w:rsid w:val="54D23DEC"/>
    <w:rsid w:val="54F9581D"/>
    <w:rsid w:val="551408A9"/>
    <w:rsid w:val="552503C0"/>
    <w:rsid w:val="554F18E1"/>
    <w:rsid w:val="556F788D"/>
    <w:rsid w:val="565A678F"/>
    <w:rsid w:val="56BE6D1E"/>
    <w:rsid w:val="56DF6C95"/>
    <w:rsid w:val="56ED315F"/>
    <w:rsid w:val="571E156B"/>
    <w:rsid w:val="57833AC4"/>
    <w:rsid w:val="57EC78BB"/>
    <w:rsid w:val="5814471C"/>
    <w:rsid w:val="587C0C3F"/>
    <w:rsid w:val="58B101BD"/>
    <w:rsid w:val="58B87CB2"/>
    <w:rsid w:val="58EA204C"/>
    <w:rsid w:val="591A3FB4"/>
    <w:rsid w:val="59582714"/>
    <w:rsid w:val="597436C4"/>
    <w:rsid w:val="59927FEE"/>
    <w:rsid w:val="59A65848"/>
    <w:rsid w:val="5A097BEB"/>
    <w:rsid w:val="5A551748"/>
    <w:rsid w:val="5A7A11AE"/>
    <w:rsid w:val="5AB741B0"/>
    <w:rsid w:val="5B57504B"/>
    <w:rsid w:val="5B5C6B06"/>
    <w:rsid w:val="5B9444F1"/>
    <w:rsid w:val="5BFD3E45"/>
    <w:rsid w:val="5C007491"/>
    <w:rsid w:val="5C1E200D"/>
    <w:rsid w:val="5CCC1A69"/>
    <w:rsid w:val="5CE768A3"/>
    <w:rsid w:val="5DAB5B22"/>
    <w:rsid w:val="5DD60DF1"/>
    <w:rsid w:val="5DD62B9F"/>
    <w:rsid w:val="5E0A2849"/>
    <w:rsid w:val="5E1D07CE"/>
    <w:rsid w:val="5EA42C9D"/>
    <w:rsid w:val="5F2D2C93"/>
    <w:rsid w:val="5F3B5C96"/>
    <w:rsid w:val="5F797C86"/>
    <w:rsid w:val="5F8A7537"/>
    <w:rsid w:val="5FAD16DE"/>
    <w:rsid w:val="5FB07420"/>
    <w:rsid w:val="5FBE7D8F"/>
    <w:rsid w:val="5FE13A7D"/>
    <w:rsid w:val="5FFC08B7"/>
    <w:rsid w:val="604069F6"/>
    <w:rsid w:val="605B3830"/>
    <w:rsid w:val="605C4EB2"/>
    <w:rsid w:val="60636240"/>
    <w:rsid w:val="60AD768C"/>
    <w:rsid w:val="60C50CA9"/>
    <w:rsid w:val="60CE7B5E"/>
    <w:rsid w:val="61693D2A"/>
    <w:rsid w:val="619C4100"/>
    <w:rsid w:val="61E138C1"/>
    <w:rsid w:val="61ED04B8"/>
    <w:rsid w:val="61F14BD1"/>
    <w:rsid w:val="623600B0"/>
    <w:rsid w:val="62960B4F"/>
    <w:rsid w:val="63220635"/>
    <w:rsid w:val="63640C4D"/>
    <w:rsid w:val="63F7561D"/>
    <w:rsid w:val="64721148"/>
    <w:rsid w:val="64760C38"/>
    <w:rsid w:val="659D0447"/>
    <w:rsid w:val="65E322FD"/>
    <w:rsid w:val="66E14363"/>
    <w:rsid w:val="66EA76BB"/>
    <w:rsid w:val="670047E9"/>
    <w:rsid w:val="6727446C"/>
    <w:rsid w:val="674A6A84"/>
    <w:rsid w:val="68071BA7"/>
    <w:rsid w:val="68784853"/>
    <w:rsid w:val="68880F3A"/>
    <w:rsid w:val="68925915"/>
    <w:rsid w:val="68F55EA4"/>
    <w:rsid w:val="69561038"/>
    <w:rsid w:val="699E02E9"/>
    <w:rsid w:val="6A164324"/>
    <w:rsid w:val="6A1B41A7"/>
    <w:rsid w:val="6A815C41"/>
    <w:rsid w:val="6AC00E5F"/>
    <w:rsid w:val="6ADE12E5"/>
    <w:rsid w:val="6B286A04"/>
    <w:rsid w:val="6B985938"/>
    <w:rsid w:val="6BA0659B"/>
    <w:rsid w:val="6C186A79"/>
    <w:rsid w:val="6C1C0317"/>
    <w:rsid w:val="6C1D7BEB"/>
    <w:rsid w:val="6C240280"/>
    <w:rsid w:val="6C2B2308"/>
    <w:rsid w:val="6CAF118B"/>
    <w:rsid w:val="6CBC11B2"/>
    <w:rsid w:val="6CC560F4"/>
    <w:rsid w:val="6CFA1CDB"/>
    <w:rsid w:val="6D1234C8"/>
    <w:rsid w:val="6D1C4347"/>
    <w:rsid w:val="6D605FE2"/>
    <w:rsid w:val="6DAD31F1"/>
    <w:rsid w:val="6DC72505"/>
    <w:rsid w:val="6DE24C48"/>
    <w:rsid w:val="6DFD3A93"/>
    <w:rsid w:val="6E470F4F"/>
    <w:rsid w:val="6EA97E5C"/>
    <w:rsid w:val="6F084B83"/>
    <w:rsid w:val="6F2E3EBD"/>
    <w:rsid w:val="6F35524C"/>
    <w:rsid w:val="6F51652A"/>
    <w:rsid w:val="6F516E2F"/>
    <w:rsid w:val="6F7B5355"/>
    <w:rsid w:val="6F887A72"/>
    <w:rsid w:val="70747235"/>
    <w:rsid w:val="70CC398E"/>
    <w:rsid w:val="70F2429C"/>
    <w:rsid w:val="710475CC"/>
    <w:rsid w:val="7121017E"/>
    <w:rsid w:val="715440AF"/>
    <w:rsid w:val="7161427F"/>
    <w:rsid w:val="716167CC"/>
    <w:rsid w:val="717209D9"/>
    <w:rsid w:val="71C91B5C"/>
    <w:rsid w:val="721101F2"/>
    <w:rsid w:val="723F4D5F"/>
    <w:rsid w:val="72451C4A"/>
    <w:rsid w:val="727D3192"/>
    <w:rsid w:val="729F57FE"/>
    <w:rsid w:val="73441F01"/>
    <w:rsid w:val="73797DFD"/>
    <w:rsid w:val="74213FF1"/>
    <w:rsid w:val="74D472B5"/>
    <w:rsid w:val="7507768A"/>
    <w:rsid w:val="753B10E2"/>
    <w:rsid w:val="758631CE"/>
    <w:rsid w:val="75DC2036"/>
    <w:rsid w:val="75DF5F11"/>
    <w:rsid w:val="75F95225"/>
    <w:rsid w:val="76164029"/>
    <w:rsid w:val="761E6A3A"/>
    <w:rsid w:val="76D0242A"/>
    <w:rsid w:val="77B5517C"/>
    <w:rsid w:val="783764D9"/>
    <w:rsid w:val="784529A4"/>
    <w:rsid w:val="785F12BA"/>
    <w:rsid w:val="787B4617"/>
    <w:rsid w:val="78972AD3"/>
    <w:rsid w:val="78A27DF6"/>
    <w:rsid w:val="79144124"/>
    <w:rsid w:val="79226841"/>
    <w:rsid w:val="79305402"/>
    <w:rsid w:val="794E5888"/>
    <w:rsid w:val="79555700"/>
    <w:rsid w:val="7A0917AF"/>
    <w:rsid w:val="7A1B7E60"/>
    <w:rsid w:val="7A4822D7"/>
    <w:rsid w:val="7A5C405D"/>
    <w:rsid w:val="7A6D7FEF"/>
    <w:rsid w:val="7BC2255D"/>
    <w:rsid w:val="7BD81D81"/>
    <w:rsid w:val="7BD83B2F"/>
    <w:rsid w:val="7CC52305"/>
    <w:rsid w:val="7D3354C1"/>
    <w:rsid w:val="7D3F20B7"/>
    <w:rsid w:val="7D5E1E12"/>
    <w:rsid w:val="7D625DA6"/>
    <w:rsid w:val="7D817FF3"/>
    <w:rsid w:val="7D935F5F"/>
    <w:rsid w:val="7D943A85"/>
    <w:rsid w:val="7DDEEA16"/>
    <w:rsid w:val="7F0F1615"/>
    <w:rsid w:val="7F590AE3"/>
    <w:rsid w:val="7F78365F"/>
    <w:rsid w:val="7FC76394"/>
    <w:rsid w:val="7FE72592"/>
    <w:rsid w:val="8DFA5E27"/>
    <w:rsid w:val="DD15081C"/>
    <w:rsid w:val="DDEFF2A1"/>
    <w:rsid w:val="DFDDBADB"/>
    <w:rsid w:val="E77B12B4"/>
    <w:rsid w:val="E7CFC168"/>
    <w:rsid w:val="ED76F9E1"/>
    <w:rsid w:val="EFBD655A"/>
    <w:rsid w:val="F28D5498"/>
    <w:rsid w:val="F9B7CD0E"/>
    <w:rsid w:val="FA93F7BE"/>
    <w:rsid w:val="FBED21D7"/>
    <w:rsid w:val="FE7FE102"/>
    <w:rsid w:val="FFBF10FC"/>
    <w:rsid w:val="FFFA0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line="570" w:lineRule="exact"/>
      <w:ind w:firstLine="880" w:firstLineChars="200"/>
      <w:outlineLvl w:val="2"/>
    </w:pPr>
    <w:rPr>
      <w:rFonts w:ascii="Times New Roman" w:hAnsi="Times New Roman"/>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widowControl w:val="0"/>
      <w:ind w:left="200" w:leftChars="200"/>
      <w:jc w:val="both"/>
    </w:pPr>
    <w:rPr>
      <w:rFonts w:ascii="Calibri" w:hAnsi="Calibri"/>
      <w:kern w:val="2"/>
      <w:sz w:val="21"/>
      <w:szCs w:val="24"/>
      <w:lang w:val="en-US" w:eastAsia="zh-CN" w:bidi="ar-SA"/>
    </w:rPr>
  </w:style>
  <w:style w:type="paragraph" w:styleId="6">
    <w:name w:val="Normal Indent"/>
    <w:basedOn w:val="1"/>
    <w:unhideWhenUsed/>
    <w:qFormat/>
    <w:uiPriority w:val="99"/>
    <w:pPr>
      <w:ind w:firstLine="420" w:firstLineChars="200"/>
    </w:pPr>
  </w:style>
  <w:style w:type="paragraph" w:styleId="7">
    <w:name w:val="annotation text"/>
    <w:basedOn w:val="1"/>
    <w:qFormat/>
    <w:uiPriority w:val="0"/>
    <w:pPr>
      <w:jc w:val="left"/>
    </w:pPr>
  </w:style>
  <w:style w:type="paragraph" w:styleId="8">
    <w:name w:val="Body Text"/>
    <w:basedOn w:val="1"/>
    <w:next w:val="1"/>
    <w:qFormat/>
    <w:uiPriority w:val="0"/>
    <w:pPr>
      <w:spacing w:after="120" w:afterLines="0" w:afterAutospacing="0"/>
    </w:p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rPr>
  </w:style>
  <w:style w:type="character" w:styleId="16">
    <w:name w:val="Emphasis"/>
    <w:basedOn w:val="14"/>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2024-01-25T00:10:00Z</dcterms:created>
  <dc:creator>huiru</dc:creator>
  <cp:lastModifiedBy>user</cp:lastModifiedBy>
  <cp:lastPrinted>2024-02-07T22:33:00Z</cp:lastPrinted>
  <dcterms:modified xsi:type="dcterms:W3CDTF">2024-02-23T13:31:56Z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D1628CB3BBF04EA2842A481E0CB4FB70_13</vt:lpwstr>
  </property>
</Properties>
</file>