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t>65.020.20</w:t>
      </w:r>
      <w:r>
        <w:fldChar w:fldCharType="end"/>
      </w:r>
      <w:bookmarkEnd w:id="0"/>
    </w:p>
    <w:tbl>
      <w:tblPr>
        <w:tblStyle w:val="36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19"/>
            </w:pPr>
            <w:bookmarkStart w:id="1" w:name="WXFLH"/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begin">
                <w:ffData>
                  <w:name w:val="WXFLH"/>
                  <w:enabled/>
                  <w:calcOnExit w:val="0"/>
                  <w:helpText w:type="text" w:val="请输入中国标准文献分类号："/>
                  <w:textInput>
                    <w:default w:val="B 31"/>
                  </w:textInput>
                </w:ffData>
              </w:fldChar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instrText xml:space="preserve">FORMTEXT</w:instrText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t>B 31</w:t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end"/>
            </w:r>
            <w:bookmarkEnd w:id="1"/>
            <w:r>
              <w:pict>
                <v:rect id="BAH" o:spid="_x0000_s1031" o:spt="1" style="position:absolute;left:0pt;margin-left:-5.25pt;margin-top:0pt;height:15.6pt;width:68.25pt;z-index:-25165312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>
      <w:pPr>
        <w:pStyle w:val="105"/>
      </w:pPr>
      <w:r>
        <w:t>D</w:t>
      </w:r>
      <w:r>
        <w:rPr>
          <w:spacing w:val="100"/>
        </w:rPr>
        <w:t>B</w:t>
      </w:r>
      <w:bookmarkStart w:id="2" w:name="c3"/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begin">
          <w:ffData>
            <w:name w:val="c3"/>
            <w:enabled/>
            <w:calcOnExit w:val="0"/>
            <w:textInput>
              <w:default w:val="4405"/>
            </w:textInput>
          </w:ffData>
        </w:fldChar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instrText xml:space="preserve">FORMTEXT</w:instrTex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t>4405</w: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end"/>
      </w:r>
      <w:bookmarkEnd w:id="2"/>
    </w:p>
    <w:p>
      <w:pPr>
        <w:pStyle w:val="106"/>
      </w:pPr>
      <w:bookmarkStart w:id="3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汕头市农业</w:t>
      </w:r>
      <w:r>
        <w:fldChar w:fldCharType="end"/>
      </w:r>
      <w:bookmarkEnd w:id="3"/>
      <w:r>
        <w:t>地方标准</w:t>
      </w:r>
    </w:p>
    <w:p>
      <w:pPr>
        <w:pStyle w:val="43"/>
        <w:rPr>
          <w:rFonts w:hAnsi="黑体"/>
        </w:rPr>
      </w:pPr>
      <w:r>
        <w:rPr>
          <w:rFonts w:ascii="Times New Roman"/>
        </w:rPr>
        <w:t xml:space="preserve">DB </w:t>
      </w:r>
      <w:bookmarkStart w:id="4" w:name="StdNo0"/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begin">
          <w:ffData>
            <w:name w:val="StdNo0"/>
            <w:enabled/>
            <w:calcOnExit w:val="0"/>
            <w:textInput>
              <w:default w:val="4405/T"/>
            </w:textInput>
          </w:ffData>
        </w:fldChar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instrText xml:space="preserve">FORMTEXT</w:instrTex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separate"/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t>4405/T</w: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end"/>
      </w:r>
      <w:bookmarkEnd w:id="4"/>
      <w:r>
        <w:rPr>
          <w:rFonts w:hAnsi="黑体"/>
        </w:rPr>
        <w:t xml:space="preserve"> </w:t>
      </w:r>
      <w:r>
        <w:rPr>
          <w:rFonts w:hint="eastAsia" w:hAnsi="黑体"/>
        </w:rPr>
        <w:t>30</w:t>
      </w:r>
      <w:r>
        <w:rPr>
          <w:rFonts w:hAnsi="黑体"/>
        </w:rPr>
        <w:t>—</w:t>
      </w:r>
      <w:bookmarkStart w:id="5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2019</w:t>
      </w:r>
      <w:r>
        <w:rPr>
          <w:rFonts w:hAnsi="黑体"/>
        </w:rPr>
        <w:fldChar w:fldCharType="end"/>
      </w:r>
      <w:bookmarkEnd w:id="5"/>
    </w:p>
    <w:tbl>
      <w:tblPr>
        <w:tblStyle w:val="36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  <w:wordWrap w:val="0"/>
            </w:pPr>
            <w:bookmarkStart w:id="6" w:name="DT"/>
            <w:r>
              <w:pict>
                <v:rect id="DT" o:spid="_x0000_s1028" o:spt="1" style="position:absolute;left:0pt;margin-left:372.8pt;margin-top:2.7pt;height:18pt;width:90pt;z-index:-25165619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bookmarkEnd w:id="6"/>
            <w:r>
              <w:rPr>
                <w:rFonts w:hint="eastAsia"/>
              </w:rPr>
              <w:t>代替 DB 440500/T 30-2011</w:t>
            </w:r>
          </w:p>
        </w:tc>
      </w:tr>
    </w:tbl>
    <w:p>
      <w:pPr>
        <w:pStyle w:val="43"/>
        <w:rPr>
          <w:rFonts w:hAnsi="黑体"/>
        </w:rPr>
      </w:pPr>
    </w:p>
    <w:p>
      <w:pPr>
        <w:pStyle w:val="43"/>
        <w:rPr>
          <w:rFonts w:hAnsi="黑体"/>
        </w:rPr>
      </w:pPr>
    </w:p>
    <w:p>
      <w:pPr>
        <w:pStyle w:val="74"/>
      </w:pPr>
      <w:r>
        <w:rPr>
          <w:rFonts w:hint="eastAsia"/>
        </w:rPr>
        <w:t>潮汕蕉柑果实</w:t>
      </w:r>
    </w:p>
    <w:p>
      <w:pPr>
        <w:pStyle w:val="75"/>
      </w:pPr>
    </w:p>
    <w:p>
      <w:pPr>
        <w:pStyle w:val="76"/>
      </w:pPr>
    </w:p>
    <w:tbl>
      <w:tblPr>
        <w:tblStyle w:val="36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</w:pPr>
            <w:r>
              <w:pict>
                <v:rect id="RQ" o:spid="_x0000_s1030" o:spt="1" style="position:absolute;left:0pt;margin-left:173.3pt;margin-top:45.15pt;height:20pt;width:150pt;z-index:-25165414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29" o:spt="1" style="position:absolute;left:0pt;margin-left:193.3pt;margin-top:20.15pt;height:24pt;width:100pt;z-index:-25165516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</w:pPr>
          </w:p>
        </w:tc>
      </w:tr>
    </w:tbl>
    <w:p>
      <w:pPr>
        <w:pStyle w:val="126"/>
      </w:pPr>
      <w:bookmarkStart w:id="7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06</w:t>
      </w:r>
      <w:r>
        <w:rPr>
          <w:rFonts w:hint="eastAsia"/>
        </w:rPr>
        <w:t>发布</w:t>
      </w:r>
      <w:r>
        <w:pict>
          <v:line id="_x0000_s1026" o:spid="_x0000_s1026" o:spt="20" style="position:absolute;left:0pt;margin-left:-0.05pt;margin-top:728.5pt;height:0pt;width:481.9pt;mso-position-vertic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27"/>
      </w:pPr>
      <w:bookmarkStart w:id="8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15</w:t>
      </w:r>
      <w:r>
        <w:rPr>
          <w:rFonts w:hint="eastAsia"/>
        </w:rPr>
        <w:t>实施</w:t>
      </w:r>
    </w:p>
    <w:p>
      <w:pPr>
        <w:pStyle w:val="107"/>
      </w:pPr>
      <w:bookmarkStart w:id="9" w:name="fm"/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begin">
          <w:ffData>
            <w:name w:val="fm"/>
            <w:enabled/>
            <w:calcOnExit w:val="0"/>
            <w:textInput>
              <w:default w:val="汕头市市场监督管理局"/>
            </w:textInput>
          </w:ffData>
        </w:fldChar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instrText xml:space="preserve">FORMTEXT</w:instrTex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separate"/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t>汕头市市场监督管理局</w: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end"/>
      </w:r>
      <w:bookmarkEnd w:id="9"/>
      <w:r>
        <w:t xml:space="preserve"> </w:t>
      </w:r>
      <w:r>
        <w:rPr>
          <w:rStyle w:val="69"/>
        </w:rPr>
        <w:t xml:space="preserve"> </w:t>
      </w:r>
      <w:r>
        <w:rPr>
          <w:rStyle w:val="69"/>
          <w:rFonts w:hint="eastAsia"/>
        </w:rPr>
        <w:t>发布</w:t>
      </w:r>
    </w:p>
    <w:p>
      <w:pPr>
        <w:pStyle w:val="21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_x0000_s1027" o:spid="_x0000_s1027" o:spt="20" style="position:absolute;left:0pt;margin-left:-0.05pt;margin-top:184.25pt;height:0pt;width:481.9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8"/>
      </w:pPr>
      <w:r>
        <w:rPr>
          <w:rFonts w:hint="eastAsia"/>
        </w:rPr>
        <w:t>前</w:t>
      </w:r>
      <w:bookmarkStart w:id="10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0"/>
    </w:p>
    <w:p>
      <w:pPr>
        <w:pStyle w:val="21"/>
      </w:pPr>
      <w:r>
        <w:rPr>
          <w:rFonts w:hint="eastAsia"/>
        </w:rPr>
        <w:t>本标准按GB/T 1.1—2009《标准化工作导则第1部分：标准的结构和编写》的规定进行修订。</w:t>
      </w:r>
    </w:p>
    <w:p>
      <w:pPr>
        <w:pStyle w:val="21"/>
      </w:pPr>
      <w:r>
        <w:rPr>
          <w:rFonts w:hint="eastAsia"/>
        </w:rPr>
        <w:t>本标准的4.5、7.1是强制性条文，其余条文是推荐性条文。</w:t>
      </w:r>
    </w:p>
    <w:p>
      <w:pPr>
        <w:pStyle w:val="21"/>
      </w:pPr>
      <w:r>
        <w:rPr>
          <w:rFonts w:hint="eastAsia"/>
        </w:rPr>
        <w:t>本标准与DB 440500/T 30—2011相比，除做编辑性修改外，主要技术变化如下：</w:t>
      </w:r>
    </w:p>
    <w:p>
      <w:pPr>
        <w:pStyle w:val="21"/>
      </w:pPr>
      <w:r>
        <w:rPr>
          <w:rFonts w:hint="eastAsia" w:ascii="黑体" w:hAnsi="黑体" w:eastAsia="黑体"/>
        </w:rPr>
        <w:t>——</w:t>
      </w:r>
      <w:r>
        <w:rPr>
          <w:rFonts w:hint="eastAsia"/>
        </w:rPr>
        <w:t>对“规范性引用文件”的表述进行规范</w:t>
      </w:r>
      <w:r>
        <w:rPr>
          <w:rFonts w:hint="eastAsia" w:hAnsi="宋体"/>
          <w:kern w:val="2"/>
          <w:szCs w:val="24"/>
        </w:rPr>
        <w:t>（见2）；</w:t>
      </w:r>
    </w:p>
    <w:p>
      <w:pPr>
        <w:pStyle w:val="21"/>
      </w:pPr>
      <w:r>
        <w:rPr>
          <w:rFonts w:hint="eastAsia" w:ascii="黑体" w:hAnsi="黑体" w:eastAsia="黑体"/>
        </w:rPr>
        <w:t>——</w:t>
      </w:r>
      <w:r>
        <w:rPr>
          <w:rFonts w:hint="eastAsia" w:asciiTheme="minorEastAsia" w:hAnsiTheme="minorEastAsia" w:eastAsiaTheme="minorEastAsia"/>
        </w:rPr>
        <w:t>删除原标准文本中的</w:t>
      </w:r>
      <w:r>
        <w:rPr>
          <w:rFonts w:hint="eastAsia"/>
        </w:rPr>
        <w:t>“GB 14928.8”和“GB 14928.10”</w:t>
      </w:r>
      <w:r>
        <w:rPr>
          <w:rFonts w:hint="eastAsia" w:hAnsi="宋体"/>
          <w:kern w:val="2"/>
          <w:szCs w:val="24"/>
        </w:rPr>
        <w:t>（见</w:t>
      </w:r>
      <w:r>
        <w:rPr>
          <w:rFonts w:hint="eastAsia"/>
        </w:rPr>
        <w:t>DB 440500/T 30—2011的</w:t>
      </w:r>
      <w:r>
        <w:rPr>
          <w:rFonts w:hint="eastAsia" w:hAnsi="宋体"/>
          <w:kern w:val="2"/>
          <w:szCs w:val="24"/>
        </w:rPr>
        <w:t>2、4.5）</w:t>
      </w:r>
      <w:r>
        <w:rPr>
          <w:rFonts w:hint="eastAsia"/>
        </w:rPr>
        <w:t>。</w:t>
      </w:r>
    </w:p>
    <w:p>
      <w:pPr>
        <w:pStyle w:val="21"/>
      </w:pPr>
      <w:r>
        <w:rPr>
          <w:rFonts w:hint="eastAsia"/>
        </w:rPr>
        <w:t>本标准由</w:t>
      </w:r>
      <w:r>
        <w:rPr>
          <w:rFonts w:hint="eastAsia"/>
          <w:lang w:eastAsia="zh-CN"/>
        </w:rPr>
        <w:t>原</w:t>
      </w:r>
      <w:r>
        <w:rPr>
          <w:rFonts w:hint="eastAsia"/>
        </w:rPr>
        <w:t>汕头市农业局提出。</w:t>
      </w:r>
    </w:p>
    <w:p>
      <w:pPr>
        <w:pStyle w:val="21"/>
      </w:pPr>
      <w:r>
        <w:rPr>
          <w:rFonts w:hint="eastAsia"/>
        </w:rPr>
        <w:t>本标准起草单位：汕头市果树研究中心、潮阳市金玉镇农业技术推广站。</w:t>
      </w:r>
    </w:p>
    <w:p>
      <w:pPr>
        <w:pStyle w:val="21"/>
      </w:pPr>
      <w:r>
        <w:rPr>
          <w:rFonts w:hint="eastAsia"/>
        </w:rPr>
        <w:t>本标准主要起草人：杨惠文、廖玉章、陈桂平、郑木川、黄武强。</w:t>
      </w:r>
    </w:p>
    <w:p>
      <w:pPr>
        <w:pStyle w:val="21"/>
        <w:sectPr>
          <w:headerReference r:id="rId7" w:type="default"/>
          <w:footerReference r:id="rId8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  <w:r>
        <w:rPr>
          <w:rFonts w:hint="eastAsia"/>
        </w:rPr>
        <w:t>本标准于2002年11月首次发布，2011年12月第一次修订，本次为第二次修订。</w:t>
      </w:r>
    </w:p>
    <w:p>
      <w:pPr>
        <w:pStyle w:val="46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Content>
          <w:r>
            <w:rPr>
              <w:rFonts w:hint="eastAsia"/>
            </w:rPr>
            <w:t>潮汕蕉柑果实</w:t>
          </w:r>
        </w:sdtContent>
      </w:sdt>
      <w:bookmarkStart w:id="11" w:name="StandardName"/>
      <w:bookmarkEnd w:id="11"/>
    </w:p>
    <w:p>
      <w:pPr>
        <w:pStyle w:val="41"/>
        <w:spacing w:before="312" w:after="312"/>
      </w:pPr>
      <w:r>
        <w:rPr>
          <w:rFonts w:hint="eastAsia"/>
        </w:rPr>
        <w:t>范围</w:t>
      </w:r>
    </w:p>
    <w:p>
      <w:pPr>
        <w:pStyle w:val="21"/>
      </w:pPr>
      <w:r>
        <w:rPr>
          <w:rFonts w:hint="eastAsia"/>
        </w:rPr>
        <w:t>本标准规定了潮汕蕉柑果实的术语和定义，要求，试验方法，检验规则，标志、标签、包装、运输、贮存等内容。</w:t>
      </w:r>
    </w:p>
    <w:p>
      <w:pPr>
        <w:pStyle w:val="21"/>
      </w:pPr>
      <w:r>
        <w:rPr>
          <w:rFonts w:hint="eastAsia"/>
        </w:rPr>
        <w:t>本标准适用于汕头市辖区潮汕蕉柑果实的生产与流通。</w:t>
      </w:r>
    </w:p>
    <w:p>
      <w:pPr>
        <w:pStyle w:val="41"/>
        <w:spacing w:before="312" w:after="312"/>
      </w:pPr>
      <w:r>
        <w:rPr>
          <w:rFonts w:hint="eastAsia"/>
        </w:rPr>
        <w:t>规范性引用文件</w:t>
      </w:r>
    </w:p>
    <w:p>
      <w:pPr>
        <w:pStyle w:val="21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21"/>
      </w:pPr>
      <w:r>
        <w:rPr>
          <w:rFonts w:hint="eastAsia"/>
        </w:rPr>
        <w:t>GB/T 191  包装储运图示标志</w:t>
      </w:r>
    </w:p>
    <w:p>
      <w:pPr>
        <w:pStyle w:val="21"/>
      </w:pPr>
      <w:r>
        <w:rPr>
          <w:rFonts w:hint="eastAsia"/>
        </w:rPr>
        <w:t>GB 2762  食品安全国家标准 食品中污染物限量</w:t>
      </w:r>
    </w:p>
    <w:p>
      <w:pPr>
        <w:pStyle w:val="21"/>
      </w:pPr>
      <w:r>
        <w:rPr>
          <w:rFonts w:hint="eastAsia"/>
        </w:rPr>
        <w:t>GB 2763  食品安全国家标准 食品中农药最大残留限量</w:t>
      </w:r>
    </w:p>
    <w:p>
      <w:pPr>
        <w:pStyle w:val="21"/>
      </w:pPr>
      <w:r>
        <w:rPr>
          <w:rFonts w:hint="eastAsia"/>
        </w:rPr>
        <w:t>GB/T 5009.17  食品安全国家标准 食品中总汞及有机汞的测定</w:t>
      </w:r>
    </w:p>
    <w:p>
      <w:pPr>
        <w:pStyle w:val="21"/>
      </w:pPr>
      <w:r>
        <w:rPr>
          <w:rFonts w:hint="eastAsia"/>
        </w:rPr>
        <w:t>GB/T 5009.19  食品中有机氯农药多组分残留量的测定</w:t>
      </w:r>
    </w:p>
    <w:p>
      <w:pPr>
        <w:pStyle w:val="21"/>
      </w:pPr>
      <w:r>
        <w:rPr>
          <w:rFonts w:hint="eastAsia"/>
        </w:rPr>
        <w:t>GB/T 5009.38  蔬菜、水果卫生标准的分析方法</w:t>
      </w:r>
    </w:p>
    <w:p>
      <w:pPr>
        <w:pStyle w:val="21"/>
      </w:pPr>
      <w:r>
        <w:rPr>
          <w:rFonts w:hint="eastAsia"/>
        </w:rPr>
        <w:t>GB/T 5009.109  柑桔中水胺硫磷残留量的测定</w:t>
      </w:r>
    </w:p>
    <w:p>
      <w:pPr>
        <w:pStyle w:val="21"/>
      </w:pPr>
      <w:r>
        <w:rPr>
          <w:rFonts w:hint="eastAsia"/>
        </w:rPr>
        <w:t>GB/T 5009.112  大米和柑桔中喹硫磷残留量的测定</w:t>
      </w:r>
    </w:p>
    <w:p>
      <w:pPr>
        <w:pStyle w:val="21"/>
      </w:pPr>
      <w:r>
        <w:rPr>
          <w:rFonts w:hint="eastAsia"/>
        </w:rPr>
        <w:t xml:space="preserve">GB/T 8210  柑桔鲜果检验方法 </w:t>
      </w:r>
    </w:p>
    <w:p>
      <w:pPr>
        <w:pStyle w:val="21"/>
      </w:pPr>
      <w:r>
        <w:rPr>
          <w:rFonts w:hint="eastAsia"/>
        </w:rPr>
        <w:t>GB 12947  鲜柑桔</w:t>
      </w:r>
    </w:p>
    <w:p>
      <w:pPr>
        <w:pStyle w:val="21"/>
      </w:pPr>
      <w:r>
        <w:rPr>
          <w:rFonts w:hint="eastAsia"/>
        </w:rPr>
        <w:t>NY/T 1189  柑橘贮藏</w:t>
      </w:r>
    </w:p>
    <w:p>
      <w:pPr>
        <w:pStyle w:val="41"/>
        <w:spacing w:before="312" w:after="312"/>
      </w:pPr>
      <w:r>
        <w:rPr>
          <w:rFonts w:hint="eastAsia"/>
        </w:rPr>
        <w:t>术语和定义</w:t>
      </w:r>
    </w:p>
    <w:p>
      <w:pPr>
        <w:pStyle w:val="21"/>
      </w:pPr>
      <w:r>
        <w:rPr>
          <w:rFonts w:hint="eastAsia"/>
        </w:rPr>
        <w:t>GB 12947确立的以及下列术语和定义适用于本标准。</w:t>
      </w:r>
    </w:p>
    <w:p>
      <w:pPr>
        <w:pStyle w:val="38"/>
        <w:spacing w:before="156" w:after="156"/>
      </w:pPr>
      <w:r>
        <w:rPr>
          <w:rFonts w:hint="eastAsia"/>
        </w:rPr>
        <w:t>　</w:t>
      </w:r>
    </w:p>
    <w:p>
      <w:pPr>
        <w:pStyle w:val="21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潮汕蕉柑</w:t>
      </w:r>
    </w:p>
    <w:p>
      <w:pPr>
        <w:pStyle w:val="21"/>
      </w:pPr>
      <w:r>
        <w:rPr>
          <w:rFonts w:hint="eastAsia"/>
        </w:rPr>
        <w:t>蕉柑 S.tankan （Hayata) Tseng，别名招柑、桶柑；潮汕地区栽培最多的柑桔品种，惯来以“潮汕蕉柑”品名出口。</w:t>
      </w:r>
    </w:p>
    <w:p>
      <w:pPr>
        <w:pStyle w:val="38"/>
        <w:spacing w:before="156" w:after="156"/>
      </w:pPr>
      <w:r>
        <w:rPr>
          <w:rFonts w:hint="eastAsia"/>
        </w:rPr>
        <w:t>　</w:t>
      </w:r>
    </w:p>
    <w:p>
      <w:pPr>
        <w:pStyle w:val="21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果形指数</w:t>
      </w:r>
    </w:p>
    <w:p>
      <w:pPr>
        <w:pStyle w:val="21"/>
      </w:pPr>
      <w:r>
        <w:rPr>
          <w:rFonts w:hint="eastAsia"/>
        </w:rPr>
        <w:t>果实纵径(cm)除以果实横径(cm)。</w:t>
      </w:r>
    </w:p>
    <w:p>
      <w:pPr>
        <w:pStyle w:val="41"/>
        <w:spacing w:before="312" w:after="312"/>
      </w:pPr>
      <w:r>
        <w:rPr>
          <w:rFonts w:hint="eastAsia"/>
        </w:rPr>
        <w:t>要求</w:t>
      </w:r>
    </w:p>
    <w:p>
      <w:pPr>
        <w:pStyle w:val="38"/>
        <w:spacing w:before="156" w:after="156"/>
        <w:rPr>
          <w:rFonts w:hAnsi="黑体"/>
        </w:rPr>
      </w:pPr>
      <w:r>
        <w:rPr>
          <w:rFonts w:hint="eastAsia" w:hAnsi="黑体"/>
        </w:rPr>
        <w:t>基本要求</w:t>
      </w:r>
    </w:p>
    <w:p>
      <w:pPr>
        <w:pStyle w:val="38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果实成熟，无病虫，无损伤，不能有腐烂、霉变现象。 </w:t>
      </w:r>
    </w:p>
    <w:p>
      <w:pPr>
        <w:pStyle w:val="38"/>
        <w:spacing w:before="156" w:after="156"/>
        <w:rPr>
          <w:rFonts w:hAnsi="黑体"/>
        </w:rPr>
      </w:pPr>
      <w:r>
        <w:rPr>
          <w:rFonts w:hint="eastAsia" w:hAnsi="黑体"/>
        </w:rPr>
        <w:t>分级</w:t>
      </w:r>
    </w:p>
    <w:p>
      <w:pPr>
        <w:pStyle w:val="38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果实按感官、果实横径、可食率等特点分为特级、一级、二级、三级。</w:t>
      </w:r>
    </w:p>
    <w:p>
      <w:pPr>
        <w:pStyle w:val="38"/>
        <w:spacing w:before="156" w:after="156"/>
        <w:rPr>
          <w:rFonts w:hAnsi="黑体"/>
        </w:rPr>
      </w:pPr>
      <w:r>
        <w:rPr>
          <w:rFonts w:hint="eastAsia" w:hAnsi="黑体"/>
        </w:rPr>
        <w:t>感官要求</w:t>
      </w:r>
    </w:p>
    <w:p>
      <w:pPr>
        <w:pStyle w:val="21"/>
      </w:pPr>
      <w:r>
        <w:rPr>
          <w:rFonts w:hint="eastAsia"/>
        </w:rPr>
        <w:t>感官要求见表1。</w:t>
      </w:r>
    </w:p>
    <w:p>
      <w:pPr>
        <w:pStyle w:val="122"/>
        <w:spacing w:before="156" w:after="156"/>
      </w:pPr>
    </w:p>
    <w:tbl>
      <w:tblPr>
        <w:tblStyle w:val="35"/>
        <w:tblW w:w="929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573"/>
        <w:gridCol w:w="2558"/>
        <w:gridCol w:w="25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1603" w:type="dxa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项    目</w:t>
            </w:r>
          </w:p>
        </w:tc>
        <w:tc>
          <w:tcPr>
            <w:tcW w:w="7696" w:type="dxa"/>
            <w:gridSpan w:val="3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要      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603" w:type="dxa"/>
            <w:vMerge w:val="continue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</w:p>
        </w:tc>
        <w:tc>
          <w:tcPr>
            <w:tcW w:w="2573" w:type="dxa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特级、一级</w:t>
            </w:r>
          </w:p>
        </w:tc>
        <w:tc>
          <w:tcPr>
            <w:tcW w:w="2558" w:type="dxa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二    级</w:t>
            </w:r>
          </w:p>
        </w:tc>
        <w:tc>
          <w:tcPr>
            <w:tcW w:w="2565" w:type="dxa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三    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果    形</w:t>
            </w:r>
          </w:p>
        </w:tc>
        <w:tc>
          <w:tcPr>
            <w:tcW w:w="2573" w:type="dxa"/>
            <w:tcBorders>
              <w:top w:val="single" w:color="auto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/>
                <w:kern w:val="0"/>
                <w:sz w:val="18"/>
                <w:szCs w:val="20"/>
              </w:rPr>
              <w:t>果形端正、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果蒂萼片完整平齐、</w:t>
            </w:r>
            <w:r>
              <w:rPr>
                <w:rFonts w:ascii="宋体" w:hAnsi="宋体"/>
                <w:kern w:val="0"/>
                <w:sz w:val="18"/>
                <w:szCs w:val="20"/>
              </w:rPr>
              <w:t>具有本品种固有特征，无突蒂果和梨形果。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果形指数：≥0</w:t>
            </w:r>
            <w:r>
              <w:rPr>
                <w:rFonts w:ascii="宋体" w:hAnsi="宋体"/>
                <w:kern w:val="0"/>
                <w:sz w:val="18"/>
                <w:szCs w:val="20"/>
              </w:rPr>
              <w:t>.85</w:t>
            </w:r>
          </w:p>
        </w:tc>
        <w:tc>
          <w:tcPr>
            <w:tcW w:w="2558" w:type="dxa"/>
            <w:tcBorders>
              <w:top w:val="single" w:color="auto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/>
                <w:kern w:val="0"/>
                <w:sz w:val="18"/>
                <w:szCs w:val="20"/>
              </w:rPr>
              <w:t>果形端正、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果蒂萼片完整平齐、</w:t>
            </w:r>
            <w:r>
              <w:rPr>
                <w:rFonts w:ascii="宋体" w:hAnsi="宋体"/>
                <w:kern w:val="0"/>
                <w:sz w:val="18"/>
                <w:szCs w:val="20"/>
              </w:rPr>
              <w:t>具有本品种固有特征，无突蒂果和梨形果。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果形指数：≥0</w:t>
            </w:r>
            <w:r>
              <w:rPr>
                <w:rFonts w:ascii="宋体" w:hAnsi="宋体"/>
                <w:kern w:val="0"/>
                <w:sz w:val="18"/>
                <w:szCs w:val="20"/>
              </w:rPr>
              <w:t>.85</w:t>
            </w:r>
          </w:p>
        </w:tc>
        <w:tc>
          <w:tcPr>
            <w:tcW w:w="2565" w:type="dxa"/>
            <w:tcBorders>
              <w:top w:val="single" w:color="auto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/>
                <w:kern w:val="0"/>
                <w:sz w:val="18"/>
                <w:szCs w:val="20"/>
              </w:rPr>
              <w:t>果形正常、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果蒂萼片完整平齐、</w:t>
            </w:r>
            <w:r>
              <w:rPr>
                <w:rFonts w:ascii="宋体" w:hAnsi="宋体"/>
                <w:kern w:val="0"/>
                <w:sz w:val="18"/>
                <w:szCs w:val="20"/>
              </w:rPr>
              <w:t>有本品种应有的特征，无突蒂果和梨形果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。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果形指数：≥0</w:t>
            </w:r>
            <w:r>
              <w:rPr>
                <w:rFonts w:ascii="宋体" w:hAnsi="宋体"/>
                <w:kern w:val="0"/>
                <w:sz w:val="18"/>
                <w:szCs w:val="20"/>
              </w:rPr>
              <w:t>.85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果面光滑度</w:t>
            </w:r>
          </w:p>
        </w:tc>
        <w:tc>
          <w:tcPr>
            <w:tcW w:w="2573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果面洁净，果皮光滑。</w:t>
            </w:r>
          </w:p>
        </w:tc>
        <w:tc>
          <w:tcPr>
            <w:tcW w:w="2558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果面洁净，果皮光滑。</w:t>
            </w:r>
          </w:p>
        </w:tc>
        <w:tc>
          <w:tcPr>
            <w:tcW w:w="2565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果面洁净，果皮轻度粗糙。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色    泽</w:t>
            </w:r>
          </w:p>
        </w:tc>
        <w:tc>
          <w:tcPr>
            <w:tcW w:w="2573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/>
                <w:kern w:val="0"/>
                <w:sz w:val="18"/>
                <w:szCs w:val="20"/>
              </w:rPr>
              <w:t>深橙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红</w:t>
            </w:r>
            <w:r>
              <w:rPr>
                <w:rFonts w:ascii="宋体" w:hAnsi="宋体"/>
                <w:kern w:val="0"/>
                <w:sz w:val="18"/>
                <w:szCs w:val="20"/>
              </w:rPr>
              <w:t>色或橙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红</w:t>
            </w:r>
            <w:r>
              <w:rPr>
                <w:rFonts w:ascii="宋体" w:hAnsi="宋体"/>
                <w:kern w:val="0"/>
                <w:sz w:val="18"/>
                <w:szCs w:val="20"/>
              </w:rPr>
              <w:t>色，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色泽</w:t>
            </w:r>
            <w:r>
              <w:rPr>
                <w:rFonts w:ascii="宋体" w:hAnsi="宋体"/>
                <w:kern w:val="0"/>
                <w:sz w:val="18"/>
                <w:szCs w:val="20"/>
              </w:rPr>
              <w:t>鲜艳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。</w:t>
            </w:r>
          </w:p>
        </w:tc>
        <w:tc>
          <w:tcPr>
            <w:tcW w:w="2558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/>
                <w:kern w:val="0"/>
                <w:sz w:val="18"/>
                <w:szCs w:val="20"/>
              </w:rPr>
              <w:t>深橙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红</w:t>
            </w:r>
            <w:r>
              <w:rPr>
                <w:rFonts w:ascii="宋体" w:hAnsi="宋体"/>
                <w:kern w:val="0"/>
                <w:sz w:val="18"/>
                <w:szCs w:val="20"/>
              </w:rPr>
              <w:t>色或橙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红</w:t>
            </w:r>
            <w:r>
              <w:rPr>
                <w:rFonts w:ascii="宋体" w:hAnsi="宋体"/>
                <w:kern w:val="0"/>
                <w:sz w:val="18"/>
                <w:szCs w:val="20"/>
              </w:rPr>
              <w:t>色，色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泽</w:t>
            </w:r>
            <w:r>
              <w:rPr>
                <w:rFonts w:ascii="宋体" w:hAnsi="宋体"/>
                <w:kern w:val="0"/>
                <w:sz w:val="18"/>
                <w:szCs w:val="20"/>
              </w:rPr>
              <w:t>鲜艳。</w:t>
            </w:r>
          </w:p>
        </w:tc>
        <w:tc>
          <w:tcPr>
            <w:tcW w:w="2565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/>
                <w:kern w:val="0"/>
                <w:sz w:val="18"/>
                <w:szCs w:val="20"/>
              </w:rPr>
              <w:t>橙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红</w:t>
            </w:r>
            <w:r>
              <w:rPr>
                <w:rFonts w:ascii="宋体" w:hAnsi="宋体"/>
                <w:kern w:val="0"/>
                <w:sz w:val="18"/>
                <w:szCs w:val="20"/>
              </w:rPr>
              <w:t>色或浅橙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红</w:t>
            </w:r>
            <w:r>
              <w:rPr>
                <w:rFonts w:ascii="宋体" w:hAnsi="宋体"/>
                <w:kern w:val="0"/>
                <w:sz w:val="18"/>
                <w:szCs w:val="20"/>
              </w:rPr>
              <w:t>色，色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泽较</w:t>
            </w:r>
            <w:r>
              <w:rPr>
                <w:rFonts w:ascii="宋体" w:hAnsi="宋体"/>
                <w:kern w:val="0"/>
                <w:sz w:val="18"/>
                <w:szCs w:val="20"/>
              </w:rPr>
              <w:t>鲜艳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缺    陷</w:t>
            </w:r>
          </w:p>
        </w:tc>
        <w:tc>
          <w:tcPr>
            <w:tcW w:w="2573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/>
                <w:kern w:val="0"/>
                <w:sz w:val="18"/>
                <w:szCs w:val="20"/>
              </w:rPr>
              <w:t>不得有未愈合的机械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损</w:t>
            </w:r>
            <w:r>
              <w:rPr>
                <w:rFonts w:ascii="宋体" w:hAnsi="宋体"/>
                <w:kern w:val="0"/>
                <w:sz w:val="18"/>
                <w:szCs w:val="20"/>
              </w:rPr>
              <w:t>伤、深疤、日灼斑、裂果、萎蔫浮皮。病虫伤斑及一切附着物合并计算其面积不超过果皮总面积5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 xml:space="preserve"> %</w:t>
            </w:r>
            <w:r>
              <w:rPr>
                <w:rFonts w:ascii="宋体" w:hAnsi="宋体"/>
                <w:kern w:val="0"/>
                <w:sz w:val="18"/>
                <w:szCs w:val="20"/>
              </w:rPr>
              <w:t>。其中单个斑痕不得超过0.25cm</w:t>
            </w:r>
            <w:r>
              <w:rPr>
                <w:rFonts w:hint="eastAsia" w:ascii="宋体" w:hAnsi="宋体"/>
                <w:kern w:val="0"/>
                <w:sz w:val="18"/>
                <w:szCs w:val="20"/>
                <w:vertAlign w:val="superscript"/>
              </w:rPr>
              <w:t>2</w:t>
            </w:r>
            <w:r>
              <w:rPr>
                <w:rFonts w:ascii="宋体" w:hAnsi="宋体"/>
                <w:kern w:val="0"/>
                <w:sz w:val="18"/>
                <w:szCs w:val="20"/>
              </w:rPr>
              <w:t>。</w:t>
            </w:r>
          </w:p>
        </w:tc>
        <w:tc>
          <w:tcPr>
            <w:tcW w:w="2558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/>
                <w:kern w:val="0"/>
                <w:sz w:val="18"/>
                <w:szCs w:val="20"/>
              </w:rPr>
              <w:t>不得有未愈合的机械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损</w:t>
            </w:r>
            <w:r>
              <w:rPr>
                <w:rFonts w:ascii="宋体" w:hAnsi="宋体"/>
                <w:kern w:val="0"/>
                <w:sz w:val="18"/>
                <w:szCs w:val="20"/>
              </w:rPr>
              <w:t>伤、深疤、日灼斑、裂果、萎蔫浮皮。病虫伤斑及一切附着物合并计算其面积不超过果皮总面积7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 xml:space="preserve"> %</w:t>
            </w:r>
          </w:p>
        </w:tc>
        <w:tc>
          <w:tcPr>
            <w:tcW w:w="2565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/>
                <w:kern w:val="0"/>
                <w:sz w:val="18"/>
                <w:szCs w:val="20"/>
              </w:rPr>
              <w:t>不得有未愈合的机械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损</w:t>
            </w:r>
            <w:r>
              <w:rPr>
                <w:rFonts w:ascii="宋体" w:hAnsi="宋体"/>
                <w:kern w:val="0"/>
                <w:sz w:val="18"/>
                <w:szCs w:val="20"/>
              </w:rPr>
              <w:t>伤、裂果、萎蔫浮皮。病虫伤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>斑</w:t>
            </w:r>
            <w:r>
              <w:rPr>
                <w:rFonts w:ascii="宋体" w:hAnsi="宋体"/>
                <w:kern w:val="0"/>
                <w:sz w:val="18"/>
                <w:szCs w:val="20"/>
              </w:rPr>
              <w:t>及一切附着物合并计算其面积不超过果皮总面积10</w:t>
            </w:r>
            <w:r>
              <w:rPr>
                <w:rFonts w:hint="eastAsia" w:ascii="宋体" w:hAnsi="宋体"/>
                <w:kern w:val="0"/>
                <w:sz w:val="18"/>
                <w:szCs w:val="20"/>
              </w:rPr>
              <w:t xml:space="preserve"> %</w:t>
            </w:r>
            <w:r>
              <w:rPr>
                <w:rFonts w:ascii="宋体" w:hAnsi="宋体"/>
                <w:kern w:val="0"/>
                <w:sz w:val="18"/>
                <w:szCs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风    味</w:t>
            </w:r>
          </w:p>
        </w:tc>
        <w:tc>
          <w:tcPr>
            <w:tcW w:w="2573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具有本品种固有的风味。</w:t>
            </w:r>
          </w:p>
        </w:tc>
        <w:tc>
          <w:tcPr>
            <w:tcW w:w="2558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具有本品种固有的风味。</w:t>
            </w:r>
          </w:p>
        </w:tc>
        <w:tc>
          <w:tcPr>
            <w:tcW w:w="2565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60" w:firstLineChars="200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20"/>
              </w:rPr>
              <w:t>具有本品种固有的风味。</w:t>
            </w:r>
          </w:p>
        </w:tc>
      </w:tr>
    </w:tbl>
    <w:p>
      <w:pPr>
        <w:pStyle w:val="38"/>
        <w:spacing w:before="156" w:after="156"/>
      </w:pPr>
      <w:r>
        <w:rPr>
          <w:rFonts w:hint="eastAsia"/>
        </w:rPr>
        <w:t>理化指标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理化指标见表2。</w:t>
      </w:r>
    </w:p>
    <w:p>
      <w:pPr>
        <w:pStyle w:val="122"/>
        <w:spacing w:before="156" w:after="156"/>
      </w:pPr>
    </w:p>
    <w:tbl>
      <w:tblPr>
        <w:tblStyle w:val="35"/>
        <w:tblW w:w="929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850"/>
        <w:gridCol w:w="1850"/>
        <w:gridCol w:w="1854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1894" w:type="dxa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项    目</w:t>
            </w:r>
          </w:p>
        </w:tc>
        <w:tc>
          <w:tcPr>
            <w:tcW w:w="7405" w:type="dxa"/>
            <w:gridSpan w:val="4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指      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894" w:type="dxa"/>
            <w:vMerge w:val="continue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850" w:type="dxa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特    级</w:t>
            </w:r>
          </w:p>
        </w:tc>
        <w:tc>
          <w:tcPr>
            <w:tcW w:w="1850" w:type="dxa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一    级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二    级</w:t>
            </w:r>
          </w:p>
        </w:tc>
        <w:tc>
          <w:tcPr>
            <w:tcW w:w="1851" w:type="dxa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三    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果实横径d，      cm</w:t>
            </w:r>
          </w:p>
        </w:tc>
        <w:tc>
          <w:tcPr>
            <w:tcW w:w="185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≥65</w:t>
            </w:r>
          </w:p>
        </w:tc>
        <w:tc>
          <w:tcPr>
            <w:tcW w:w="1850" w:type="dxa"/>
            <w:tcBorders>
              <w:top w:val="single" w:color="auto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60～65</w:t>
            </w:r>
          </w:p>
        </w:tc>
        <w:tc>
          <w:tcPr>
            <w:tcW w:w="1854" w:type="dxa"/>
            <w:tcBorders>
              <w:top w:val="single" w:color="auto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55～60</w:t>
            </w:r>
          </w:p>
        </w:tc>
        <w:tc>
          <w:tcPr>
            <w:tcW w:w="1851" w:type="dxa"/>
            <w:tcBorders>
              <w:top w:val="single" w:color="auto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50～55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可溶性固形物，   %</w:t>
            </w:r>
          </w:p>
        </w:tc>
        <w:tc>
          <w:tcPr>
            <w:tcW w:w="1850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≥10.0</w:t>
            </w:r>
          </w:p>
        </w:tc>
        <w:tc>
          <w:tcPr>
            <w:tcW w:w="1850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≥10.0</w:t>
            </w:r>
          </w:p>
        </w:tc>
        <w:tc>
          <w:tcPr>
            <w:tcW w:w="1854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≥9.5</w:t>
            </w:r>
          </w:p>
        </w:tc>
        <w:tc>
          <w:tcPr>
            <w:tcW w:w="1851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≥9.0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可食率，         %</w:t>
            </w:r>
          </w:p>
        </w:tc>
        <w:tc>
          <w:tcPr>
            <w:tcW w:w="1850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≥70</w:t>
            </w:r>
          </w:p>
        </w:tc>
        <w:tc>
          <w:tcPr>
            <w:tcW w:w="1850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≥70</w:t>
            </w:r>
          </w:p>
        </w:tc>
        <w:tc>
          <w:tcPr>
            <w:tcW w:w="1854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≥65</w:t>
            </w:r>
          </w:p>
        </w:tc>
        <w:tc>
          <w:tcPr>
            <w:tcW w:w="1851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≥65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总酸量，         %</w:t>
            </w:r>
          </w:p>
        </w:tc>
        <w:tc>
          <w:tcPr>
            <w:tcW w:w="1850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≤0.9</w:t>
            </w:r>
          </w:p>
        </w:tc>
        <w:tc>
          <w:tcPr>
            <w:tcW w:w="1850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≤0.9</w:t>
            </w:r>
          </w:p>
        </w:tc>
        <w:tc>
          <w:tcPr>
            <w:tcW w:w="1854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≤0.9</w:t>
            </w:r>
          </w:p>
        </w:tc>
        <w:tc>
          <w:tcPr>
            <w:tcW w:w="1851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≤0.9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固酸比</w:t>
            </w:r>
          </w:p>
        </w:tc>
        <w:tc>
          <w:tcPr>
            <w:tcW w:w="1850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10:1</w:t>
            </w:r>
          </w:p>
        </w:tc>
        <w:tc>
          <w:tcPr>
            <w:tcW w:w="1850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10:1</w:t>
            </w:r>
          </w:p>
        </w:tc>
        <w:tc>
          <w:tcPr>
            <w:tcW w:w="1854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9</w:t>
            </w:r>
            <w:r>
              <w:rPr>
                <w:rFonts w:ascii="宋体"/>
                <w:kern w:val="0"/>
                <w:sz w:val="18"/>
                <w:szCs w:val="20"/>
              </w:rPr>
              <w:t>.</w:t>
            </w:r>
            <w:r>
              <w:rPr>
                <w:rFonts w:hint="eastAsia" w:ascii="宋体"/>
                <w:kern w:val="0"/>
                <w:sz w:val="18"/>
                <w:szCs w:val="20"/>
              </w:rPr>
              <w:t>5:1</w:t>
            </w:r>
          </w:p>
        </w:tc>
        <w:tc>
          <w:tcPr>
            <w:tcW w:w="1851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9:1</w:t>
            </w:r>
          </w:p>
        </w:tc>
      </w:tr>
    </w:tbl>
    <w:p>
      <w:pPr>
        <w:pStyle w:val="38"/>
        <w:spacing w:before="156" w:after="156"/>
        <w:rPr>
          <w:rFonts w:hAnsi="宋体"/>
        </w:rPr>
      </w:pPr>
      <w:r>
        <w:rPr>
          <w:rFonts w:hint="eastAsia" w:hAnsi="宋体"/>
        </w:rPr>
        <w:t>卫生指标</w:t>
      </w:r>
    </w:p>
    <w:p>
      <w:pPr>
        <w:pStyle w:val="21"/>
      </w:pPr>
      <w:r>
        <w:rPr>
          <w:rFonts w:hint="eastAsia"/>
        </w:rPr>
        <w:t>按GB 2762、GB 2763的规定执行。</w:t>
      </w:r>
    </w:p>
    <w:p>
      <w:pPr>
        <w:pStyle w:val="38"/>
        <w:spacing w:before="156" w:after="156"/>
      </w:pPr>
      <w:r>
        <w:rPr>
          <w:rFonts w:hint="eastAsia"/>
        </w:rPr>
        <w:t>保鲜处理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需长途调运的果实</w:t>
      </w:r>
      <w:r>
        <w:rPr>
          <w:rFonts w:ascii="宋体" w:hAnsi="宋体"/>
          <w:kern w:val="0"/>
          <w:szCs w:val="20"/>
        </w:rPr>
        <w:t>,</w:t>
      </w:r>
      <w:r>
        <w:rPr>
          <w:rFonts w:hint="eastAsia" w:ascii="宋体" w:hAnsi="宋体"/>
          <w:kern w:val="0"/>
          <w:szCs w:val="20"/>
        </w:rPr>
        <w:t xml:space="preserve"> 应在采后</w:t>
      </w:r>
      <w:r>
        <w:rPr>
          <w:rFonts w:ascii="宋体" w:hAnsi="宋体"/>
          <w:kern w:val="0"/>
          <w:szCs w:val="20"/>
        </w:rPr>
        <w:t>24</w:t>
      </w:r>
      <w:r>
        <w:rPr>
          <w:rFonts w:hint="eastAsia" w:ascii="宋体" w:hAnsi="宋体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>h</w:t>
      </w:r>
      <w:r>
        <w:rPr>
          <w:rFonts w:hint="eastAsia" w:ascii="宋体" w:hAnsi="宋体"/>
          <w:kern w:val="0"/>
          <w:szCs w:val="20"/>
        </w:rPr>
        <w:t>内按</w:t>
      </w:r>
      <w:r>
        <w:rPr>
          <w:rFonts w:hint="eastAsia" w:ascii="宋体" w:hAnsi="宋体"/>
          <w:szCs w:val="21"/>
        </w:rPr>
        <w:t>NY/T 1189的</w:t>
      </w:r>
      <w:r>
        <w:rPr>
          <w:rFonts w:hint="eastAsia" w:ascii="宋体" w:hAnsi="宋体"/>
          <w:kern w:val="0"/>
          <w:szCs w:val="20"/>
        </w:rPr>
        <w:t>规定进行药剂保鲜处理。采后即销或用于加工的果实，可不进行保鲜处理。</w:t>
      </w:r>
    </w:p>
    <w:p>
      <w:pPr>
        <w:pStyle w:val="38"/>
        <w:spacing w:before="156" w:after="156"/>
      </w:pPr>
      <w:r>
        <w:rPr>
          <w:rFonts w:hint="eastAsia"/>
        </w:rPr>
        <w:t>容许度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仿宋_GB2312" w:hAnsi="华文仿宋" w:eastAsia="仿宋_GB2312"/>
          <w:kern w:val="0"/>
          <w:sz w:val="24"/>
          <w:szCs w:val="20"/>
        </w:rPr>
      </w:pPr>
      <w:r>
        <w:rPr>
          <w:rFonts w:hint="eastAsia" w:ascii="宋体"/>
          <w:kern w:val="0"/>
          <w:szCs w:val="20"/>
        </w:rPr>
        <w:t>考虑等级质量之间可能出现的差异性，其允许差异限制在下述范围之内：</w:t>
      </w:r>
    </w:p>
    <w:p>
      <w:pPr>
        <w:pStyle w:val="55"/>
      </w:pPr>
      <w:r>
        <w:rPr>
          <w:rFonts w:hint="eastAsia"/>
        </w:rPr>
        <w:t>重量差异：产地交接</w:t>
      </w:r>
      <w:r>
        <w:t>,</w:t>
      </w:r>
      <w:r>
        <w:rPr>
          <w:rFonts w:hint="eastAsia"/>
        </w:rPr>
        <w:t xml:space="preserve"> 每件净重与标示重量的差异不得大于</w:t>
      </w:r>
      <w:r>
        <w:t>1</w:t>
      </w:r>
      <w:r>
        <w:rPr>
          <w:rFonts w:hint="eastAsia"/>
        </w:rPr>
        <w:t xml:space="preserve"> %；运到目的地，每件净重与标示重量的差异不得大于5 %。</w:t>
      </w:r>
    </w:p>
    <w:p>
      <w:pPr>
        <w:pStyle w:val="55"/>
      </w:pPr>
      <w:r>
        <w:rPr>
          <w:rFonts w:hint="eastAsia"/>
        </w:rPr>
        <w:t>等级差容许度：同一级果实中不得有隔级果，含串级果的个数不得超过5 %。</w:t>
      </w:r>
    </w:p>
    <w:p>
      <w:pPr>
        <w:pStyle w:val="55"/>
      </w:pPr>
      <w:r>
        <w:rPr>
          <w:rFonts w:hint="eastAsia"/>
        </w:rPr>
        <w:t>腐烂果：起运点不允许有，到达目的地不超过3 %。</w:t>
      </w:r>
    </w:p>
    <w:p>
      <w:pPr>
        <w:pStyle w:val="41"/>
        <w:spacing w:before="312" w:after="312"/>
      </w:pPr>
      <w:r>
        <w:rPr>
          <w:rFonts w:hint="eastAsia"/>
        </w:rPr>
        <w:t>试验方法</w:t>
      </w:r>
    </w:p>
    <w:p>
      <w:pPr>
        <w:pStyle w:val="38"/>
        <w:spacing w:before="156" w:after="156"/>
      </w:pPr>
      <w:r>
        <w:rPr>
          <w:rFonts w:hint="eastAsia"/>
        </w:rPr>
        <w:t>感观检验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仿宋_GB2312" w:hAnsi="华文仿宋" w:eastAsia="仿宋_GB2312"/>
          <w:kern w:val="0"/>
          <w:sz w:val="24"/>
          <w:szCs w:val="20"/>
        </w:rPr>
      </w:pPr>
      <w:r>
        <w:rPr>
          <w:rFonts w:hint="eastAsia" w:ascii="宋体"/>
          <w:kern w:val="0"/>
          <w:szCs w:val="20"/>
        </w:rPr>
        <w:t>果实的果形、色泽、果皮损伤及病虫果采用目测，风味采用口尝进行判定。</w:t>
      </w:r>
    </w:p>
    <w:p>
      <w:pPr>
        <w:pStyle w:val="38"/>
        <w:spacing w:before="156" w:after="156"/>
      </w:pPr>
      <w:r>
        <w:rPr>
          <w:rFonts w:hint="eastAsia"/>
        </w:rPr>
        <w:t>理化指标测定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果实横径：用合格计量器具测量样品果实的最大横径。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可食率、可溶性固形物：按GB/T 8210中规定的方法执行。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总酸量、固酸比：按GB/T 5009.38中规定的方法执行。</w:t>
      </w:r>
    </w:p>
    <w:p>
      <w:pPr>
        <w:pStyle w:val="38"/>
        <w:spacing w:before="156" w:after="156"/>
        <w:rPr>
          <w:rFonts w:ascii="仿宋_GB2312" w:hAnsi="华文仿宋" w:eastAsia="仿宋_GB2312"/>
          <w:sz w:val="24"/>
        </w:rPr>
      </w:pPr>
      <w:r>
        <w:rPr>
          <w:rFonts w:hint="eastAsia"/>
        </w:rPr>
        <w:t>卫生指标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按GB/T 5009</w:t>
      </w:r>
      <w:r>
        <w:rPr>
          <w:rFonts w:ascii="宋体"/>
          <w:kern w:val="0"/>
          <w:szCs w:val="20"/>
        </w:rPr>
        <w:t>.17</w:t>
      </w:r>
      <w:r>
        <w:rPr>
          <w:rFonts w:hint="eastAsia" w:ascii="宋体"/>
          <w:kern w:val="0"/>
          <w:szCs w:val="20"/>
        </w:rPr>
        <w:t xml:space="preserve">、GB/T </w:t>
      </w:r>
      <w:r>
        <w:rPr>
          <w:rFonts w:ascii="宋体"/>
          <w:kern w:val="0"/>
          <w:szCs w:val="20"/>
        </w:rPr>
        <w:t>5009.19</w:t>
      </w:r>
      <w:r>
        <w:rPr>
          <w:rFonts w:hint="eastAsia" w:ascii="宋体"/>
          <w:kern w:val="0"/>
          <w:szCs w:val="20"/>
        </w:rPr>
        <w:t>、</w:t>
      </w:r>
      <w:r>
        <w:rPr>
          <w:rFonts w:ascii="宋体" w:hAnsi="宋体"/>
        </w:rPr>
        <w:t>GB/T 5009.109</w:t>
      </w:r>
      <w:r>
        <w:rPr>
          <w:rFonts w:hint="eastAsia" w:ascii="宋体"/>
          <w:kern w:val="0"/>
          <w:szCs w:val="20"/>
        </w:rPr>
        <w:t>和</w:t>
      </w:r>
      <w:r>
        <w:rPr>
          <w:rFonts w:ascii="宋体" w:hAnsi="宋体"/>
        </w:rPr>
        <w:t>GB/T 5009.1</w:t>
      </w:r>
      <w:r>
        <w:rPr>
          <w:rFonts w:hint="eastAsia" w:ascii="宋体" w:hAnsi="宋体"/>
        </w:rPr>
        <w:t>12</w:t>
      </w:r>
      <w:r>
        <w:rPr>
          <w:rFonts w:hint="eastAsia" w:ascii="宋体"/>
          <w:kern w:val="0"/>
          <w:szCs w:val="20"/>
        </w:rPr>
        <w:t>规定的方法执行。</w:t>
      </w:r>
    </w:p>
    <w:p>
      <w:pPr>
        <w:pStyle w:val="38"/>
        <w:spacing w:before="156" w:after="156"/>
      </w:pPr>
      <w:r>
        <w:rPr>
          <w:rFonts w:hint="eastAsia"/>
        </w:rPr>
        <w:t>检验期限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检验期限为调运至目的地的24 h内。</w:t>
      </w:r>
    </w:p>
    <w:p>
      <w:pPr>
        <w:pStyle w:val="41"/>
        <w:spacing w:before="312" w:after="312"/>
      </w:pPr>
      <w:r>
        <w:rPr>
          <w:rFonts w:hint="eastAsia"/>
        </w:rPr>
        <w:t>检验规则</w:t>
      </w:r>
    </w:p>
    <w:p>
      <w:pPr>
        <w:pStyle w:val="38"/>
        <w:spacing w:before="156" w:after="156"/>
      </w:pPr>
      <w:r>
        <w:rPr>
          <w:rFonts w:hint="eastAsia"/>
        </w:rPr>
        <w:t>组批规则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同一生产单位或同时调进销售的同级果实为一检验批，但最多不超过2000箱（件）。</w:t>
      </w:r>
    </w:p>
    <w:p>
      <w:pPr>
        <w:pStyle w:val="38"/>
        <w:spacing w:before="156" w:after="156"/>
      </w:pPr>
      <w:r>
        <w:rPr>
          <w:rFonts w:hint="eastAsia"/>
        </w:rPr>
        <w:t>产品检验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产品检验分以下三种：</w:t>
      </w:r>
    </w:p>
    <w:p>
      <w:pPr>
        <w:pStyle w:val="55"/>
        <w:numPr>
          <w:ilvl w:val="0"/>
          <w:numId w:val="18"/>
        </w:numPr>
      </w:pPr>
      <w:r>
        <w:rPr>
          <w:rFonts w:hint="eastAsia"/>
        </w:rPr>
        <w:t>出园检验：每批产品应由生产单位按4.1的规定进行检验</w:t>
      </w:r>
      <w:r>
        <w:t>,</w:t>
      </w:r>
      <w:r>
        <w:rPr>
          <w:rFonts w:hint="eastAsia"/>
        </w:rPr>
        <w:t xml:space="preserve"> 检验合格方准出园。</w:t>
      </w:r>
    </w:p>
    <w:p>
      <w:pPr>
        <w:pStyle w:val="55"/>
        <w:numPr>
          <w:ilvl w:val="0"/>
          <w:numId w:val="18"/>
        </w:numPr>
      </w:pPr>
      <w:r>
        <w:rPr>
          <w:rFonts w:hint="eastAsia"/>
        </w:rPr>
        <w:t>交收检验：项目为第</w:t>
      </w:r>
      <w:r>
        <w:t>4</w:t>
      </w:r>
      <w:r>
        <w:rPr>
          <w:rFonts w:hint="eastAsia"/>
        </w:rPr>
        <w:t>章的部分或全部项目；也可桉合同规定执行。</w:t>
      </w:r>
    </w:p>
    <w:p>
      <w:pPr>
        <w:pStyle w:val="55"/>
        <w:numPr>
          <w:ilvl w:val="0"/>
          <w:numId w:val="18"/>
        </w:numPr>
      </w:pPr>
      <w:r>
        <w:rPr>
          <w:rFonts w:hint="eastAsia"/>
        </w:rPr>
        <w:t>型式检验：对产品进行全面考核</w:t>
      </w:r>
      <w:r>
        <w:t>,</w:t>
      </w:r>
      <w:r>
        <w:rPr>
          <w:rFonts w:hint="eastAsia"/>
        </w:rPr>
        <w:t xml:space="preserve"> 按第4章全部要求进行。有下列情况之一者应进行检验：</w:t>
      </w:r>
    </w:p>
    <w:p>
      <w:pPr>
        <w:pStyle w:val="50"/>
      </w:pPr>
      <w:r>
        <w:rPr>
          <w:rFonts w:hint="eastAsia"/>
        </w:rPr>
        <w:t>新产品鉴定时；</w:t>
      </w:r>
    </w:p>
    <w:p>
      <w:pPr>
        <w:pStyle w:val="50"/>
      </w:pPr>
      <w:r>
        <w:rPr>
          <w:rFonts w:hint="eastAsia"/>
        </w:rPr>
        <w:t>前后两次抽样差异大，且因素不稳定时；</w:t>
      </w:r>
    </w:p>
    <w:p>
      <w:pPr>
        <w:pStyle w:val="50"/>
      </w:pPr>
      <w:r>
        <w:rPr>
          <w:rFonts w:hint="eastAsia"/>
        </w:rPr>
        <w:t>国家质量监督机构或主管部门提出要求时。</w:t>
      </w:r>
    </w:p>
    <w:p>
      <w:pPr>
        <w:pStyle w:val="38"/>
        <w:spacing w:before="156" w:after="156"/>
      </w:pPr>
      <w:r>
        <w:rPr>
          <w:rFonts w:hint="eastAsia"/>
        </w:rPr>
        <w:t>抽样方法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从批量货物的不同部位随机抽取样品。 批量1000箱(件)以下的抽样量为10箱(件),批量（1001～2000）箱(件)的抽样量为20箱（件）。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用于检验风味、可溶性固形物含量、可食率的样品果，从</w:t>
      </w:r>
      <w:r>
        <w:rPr>
          <w:rFonts w:asciiTheme="minorEastAsia" w:hAnsiTheme="minorEastAsia" w:eastAsiaTheme="minorEastAsia"/>
        </w:rPr>
        <w:t>6.3</w:t>
      </w:r>
      <w:r>
        <w:rPr>
          <w:rFonts w:hint="eastAsia" w:asciiTheme="minorEastAsia" w:hAnsiTheme="minorEastAsia" w:eastAsiaTheme="minorEastAsia"/>
        </w:rPr>
        <w:t>.1抽取的样品箱(件)中，每箱(件)随机取出果实（6～20）个，总果数不少于90个，集中盛放于箱中，混合后分成三份，其中一份作检验，一份作复检，一份作留样。</w:t>
      </w:r>
    </w:p>
    <w:p>
      <w:pPr>
        <w:pStyle w:val="38"/>
        <w:spacing w:before="156" w:after="156"/>
      </w:pPr>
      <w:r>
        <w:rPr>
          <w:rFonts w:hint="eastAsia"/>
        </w:rPr>
        <w:t>判定规则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对每一个检验批抽取的样品箱(件)，逐箱(件)逐个清点果实数。对单个果的判定按</w:t>
      </w:r>
      <w:r>
        <w:rPr>
          <w:rFonts w:asciiTheme="minorEastAsia" w:hAnsiTheme="minorEastAsia" w:eastAsiaTheme="minorEastAsia"/>
        </w:rPr>
        <w:t>4.3</w:t>
      </w:r>
      <w:r>
        <w:rPr>
          <w:rFonts w:hint="eastAsia" w:asciiTheme="minorEastAsia" w:hAnsiTheme="minorEastAsia" w:eastAsiaTheme="minorEastAsia"/>
        </w:rPr>
        <w:t>和</w:t>
      </w:r>
      <w:r>
        <w:rPr>
          <w:rFonts w:asciiTheme="minorEastAsia" w:hAnsiTheme="minorEastAsia" w:eastAsiaTheme="minorEastAsia"/>
        </w:rPr>
        <w:t>4.4</w:t>
      </w:r>
      <w:r>
        <w:rPr>
          <w:rFonts w:hint="eastAsia" w:asciiTheme="minorEastAsia" w:hAnsiTheme="minorEastAsia" w:eastAsiaTheme="minorEastAsia"/>
        </w:rPr>
        <w:t>中的规定进行检验，凡有一项不合格，就判定为不合格果。对每箱(件)果品的判定，当不合格果超过4.</w:t>
      </w:r>
      <w:r>
        <w:rPr>
          <w:rFonts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</w:rPr>
        <w:t>规定时，判定该箱(件)为不合格，并作好标记和记录。对每批果的判定，当不合格箱(件)超过10 %时，判定该检验批为不合格。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经</w:t>
      </w:r>
      <w:r>
        <w:rPr>
          <w:rFonts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.4.1检验合格的批，再用</w:t>
      </w:r>
      <w:r>
        <w:rPr>
          <w:rFonts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.3.2中抽取的混合样品果，按5.1、</w:t>
      </w:r>
      <w:r>
        <w:rPr>
          <w:rFonts w:asciiTheme="minorEastAsia" w:hAnsiTheme="minorEastAsia" w:eastAsiaTheme="minorEastAsia"/>
        </w:rPr>
        <w:t>5.2</w:t>
      </w:r>
      <w:r>
        <w:rPr>
          <w:rFonts w:hint="eastAsia" w:asciiTheme="minorEastAsia" w:hAnsiTheme="minorEastAsia" w:eastAsiaTheme="minorEastAsia"/>
        </w:rPr>
        <w:t>和5.</w:t>
      </w: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中的规定，对风味、可溶性固形物含量、可食率、卫生指标进行检验。凡有一项不合规定时，应重新加倍抽样复检，当仍有一项不合格，判定该批为不合格。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不合格批可作降级处理或重新分级。重新分级后，应按本标准规定重新检验。</w:t>
      </w:r>
    </w:p>
    <w:p>
      <w:pPr>
        <w:pStyle w:val="41"/>
        <w:spacing w:before="312" w:after="312"/>
        <w:rPr>
          <w:rFonts w:ascii="仿宋_GB2312" w:hAnsi="华文仿宋" w:eastAsia="仿宋_GB2312"/>
          <w:sz w:val="24"/>
        </w:rPr>
      </w:pPr>
      <w:r>
        <w:rPr>
          <w:rFonts w:hint="eastAsia"/>
        </w:rPr>
        <w:t>标志、标签、包装、运输、贮存</w:t>
      </w:r>
    </w:p>
    <w:p>
      <w:pPr>
        <w:pStyle w:val="38"/>
        <w:spacing w:before="156" w:after="156"/>
      </w:pPr>
      <w:r>
        <w:rPr>
          <w:rFonts w:hint="eastAsia"/>
        </w:rPr>
        <w:t>标志、标签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产品应有标志、标签，并标明：产品名称、净含量、质量等级、采收日期、包装日期、保质日期、产品标准号、标准备案号、园名、园址。</w:t>
      </w:r>
    </w:p>
    <w:p>
      <w:pPr>
        <w:pStyle w:val="42"/>
        <w:spacing w:before="156" w:after="156"/>
      </w:pPr>
      <w:r>
        <w:rPr>
          <w:rFonts w:hint="eastAsia"/>
        </w:rPr>
        <w:t>果实标志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仿宋_GB2312" w:hAnsi="华文仿宋" w:eastAsia="仿宋_GB2312"/>
          <w:kern w:val="0"/>
          <w:sz w:val="24"/>
          <w:szCs w:val="20"/>
        </w:rPr>
      </w:pPr>
      <w:r>
        <w:rPr>
          <w:rFonts w:hint="eastAsia" w:ascii="宋体"/>
          <w:kern w:val="0"/>
          <w:szCs w:val="20"/>
        </w:rPr>
        <w:t>需用果实标志时，每个果实贴上标志，同一批次必须一致。</w:t>
      </w:r>
    </w:p>
    <w:p>
      <w:pPr>
        <w:pStyle w:val="42"/>
        <w:spacing w:before="156" w:after="156"/>
      </w:pPr>
      <w:r>
        <w:rPr>
          <w:rFonts w:hint="eastAsia"/>
        </w:rPr>
        <w:t>包装标志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每一箱（件）在外面标明：产品名称、产品标准号、质量等级、重量(毛重、净重)或果数、包装日期和经销单位名称。“怕热”、“怕湿”、“小心轻放”、“堆码高度”等储运图示标志应符合GB/T 191的规定。</w:t>
      </w:r>
    </w:p>
    <w:p>
      <w:pPr>
        <w:pStyle w:val="38"/>
        <w:spacing w:before="156" w:after="156"/>
      </w:pPr>
      <w:r>
        <w:rPr>
          <w:rFonts w:hint="eastAsia"/>
        </w:rPr>
        <w:t>包装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仿宋_GB2312" w:hAnsi="华文仿宋" w:eastAsia="仿宋_GB2312"/>
          <w:kern w:val="0"/>
          <w:sz w:val="24"/>
          <w:szCs w:val="20"/>
        </w:rPr>
      </w:pPr>
      <w:r>
        <w:rPr>
          <w:rFonts w:hint="eastAsia" w:ascii="宋体"/>
          <w:kern w:val="0"/>
          <w:szCs w:val="20"/>
        </w:rPr>
        <w:t>包装按合同规定执行，包装物应符合食品卫生要求。</w:t>
      </w:r>
      <w:r>
        <w:rPr>
          <w:rFonts w:hint="eastAsia" w:ascii="仿宋_GB2312" w:hAnsi="华文仿宋" w:eastAsia="仿宋_GB2312"/>
          <w:kern w:val="0"/>
          <w:sz w:val="24"/>
          <w:szCs w:val="20"/>
        </w:rPr>
        <w:t xml:space="preserve"> </w:t>
      </w:r>
    </w:p>
    <w:p>
      <w:pPr>
        <w:pStyle w:val="38"/>
        <w:spacing w:before="156" w:after="156"/>
      </w:pPr>
      <w:r>
        <w:rPr>
          <w:rFonts w:hint="eastAsia"/>
        </w:rPr>
        <w:t>运输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运输工具应清洁、干燥、无异味，有通风、防日晒、防雨雹渗入和防碰撞挤压的设施。</w:t>
      </w:r>
    </w:p>
    <w:p>
      <w:pPr>
        <w:pStyle w:val="38"/>
        <w:spacing w:before="156" w:after="156"/>
      </w:pPr>
      <w:r>
        <w:rPr>
          <w:rFonts w:hint="eastAsia"/>
        </w:rPr>
        <w:t>贮存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贮存按</w:t>
      </w:r>
      <w:r>
        <w:rPr>
          <w:rFonts w:hint="eastAsia" w:ascii="宋体"/>
          <w:szCs w:val="20"/>
        </w:rPr>
        <w:t>NY/T 1189的</w:t>
      </w:r>
      <w:r>
        <w:rPr>
          <w:rFonts w:hint="eastAsia" w:ascii="宋体"/>
          <w:kern w:val="0"/>
          <w:szCs w:val="20"/>
        </w:rPr>
        <w:t>规定执行。</w:t>
      </w:r>
    </w:p>
    <w:p>
      <w:pPr>
        <w:pStyle w:val="125"/>
        <w:framePr w:hAnchor="page" w:x="4170" w:y="245"/>
      </w:pPr>
      <w:r>
        <w:t>_________________________________</w:t>
      </w:r>
    </w:p>
    <w:p>
      <w:pPr>
        <w:pStyle w:val="125"/>
        <w:framePr w:hSpace="0" w:vSpace="0" w:wrap="auto" w:vAnchor="margin" w:hAnchor="text" w:xAlign="left" w:yAlign="inline"/>
      </w:pPr>
    </w:p>
    <w:sectPr>
      <w:footerReference r:id="rId9" w:type="even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96172"/>
    </w:sdtPr>
    <w:sdtContent>
      <w:p>
        <w:pPr>
          <w:pStyle w:val="15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t xml:space="preserve">DB 4405/T </w:t>
    </w:r>
    <w:r>
      <w:rPr>
        <w:rFonts w:hint="eastAsia"/>
      </w:rPr>
      <w:t>30</w:t>
    </w:r>
    <w:r>
      <w:t>—2019</w:t>
    </w:r>
    <w:bookmarkStart w:id="12" w:name="_GoBack"/>
    <w:bookmarkEnd w:id="1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  <w:r>
      <w:t xml:space="preserve">DB 4405/T </w:t>
    </w:r>
    <w:r>
      <w:rPr>
        <w:rFonts w:hint="eastAsia"/>
      </w:rPr>
      <w:t>30</w:t>
    </w:r>
    <w:r>
      <w:t>—2019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1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3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0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AF349A4"/>
    <w:multiLevelType w:val="multilevel"/>
    <w:tmpl w:val="3AF349A4"/>
    <w:lvl w:ilvl="0" w:tentative="0">
      <w:start w:val="1"/>
      <w:numFmt w:val="lowerLetter"/>
      <w:pStyle w:val="5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7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0BB3"/>
    <w:rsid w:val="0000185F"/>
    <w:rsid w:val="0000380B"/>
    <w:rsid w:val="00004B91"/>
    <w:rsid w:val="00004E32"/>
    <w:rsid w:val="0000586F"/>
    <w:rsid w:val="00010F93"/>
    <w:rsid w:val="00013D86"/>
    <w:rsid w:val="00013E02"/>
    <w:rsid w:val="00020079"/>
    <w:rsid w:val="0002143C"/>
    <w:rsid w:val="00025A65"/>
    <w:rsid w:val="00026C31"/>
    <w:rsid w:val="00027280"/>
    <w:rsid w:val="000320A7"/>
    <w:rsid w:val="000325EA"/>
    <w:rsid w:val="00035925"/>
    <w:rsid w:val="00036C2C"/>
    <w:rsid w:val="000400E8"/>
    <w:rsid w:val="00040C30"/>
    <w:rsid w:val="000434C5"/>
    <w:rsid w:val="00044115"/>
    <w:rsid w:val="00045A7C"/>
    <w:rsid w:val="00050449"/>
    <w:rsid w:val="00051449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3A09"/>
    <w:rsid w:val="00086B56"/>
    <w:rsid w:val="0009005E"/>
    <w:rsid w:val="000918A9"/>
    <w:rsid w:val="00092001"/>
    <w:rsid w:val="00092618"/>
    <w:rsid w:val="00092857"/>
    <w:rsid w:val="00092BD8"/>
    <w:rsid w:val="0009320D"/>
    <w:rsid w:val="000964C7"/>
    <w:rsid w:val="000979D9"/>
    <w:rsid w:val="000A20A9"/>
    <w:rsid w:val="000A3BF4"/>
    <w:rsid w:val="000A48B1"/>
    <w:rsid w:val="000A65B8"/>
    <w:rsid w:val="000A6CA1"/>
    <w:rsid w:val="000B2F0E"/>
    <w:rsid w:val="000B3143"/>
    <w:rsid w:val="000B405D"/>
    <w:rsid w:val="000C2BE6"/>
    <w:rsid w:val="000C6B05"/>
    <w:rsid w:val="000C6DD6"/>
    <w:rsid w:val="000C73D4"/>
    <w:rsid w:val="000D3D4C"/>
    <w:rsid w:val="000D4F51"/>
    <w:rsid w:val="000D718B"/>
    <w:rsid w:val="000E060D"/>
    <w:rsid w:val="000E0C46"/>
    <w:rsid w:val="000E15EE"/>
    <w:rsid w:val="000E5F22"/>
    <w:rsid w:val="000F030C"/>
    <w:rsid w:val="000F129C"/>
    <w:rsid w:val="000F174F"/>
    <w:rsid w:val="00104E29"/>
    <w:rsid w:val="001056DE"/>
    <w:rsid w:val="001124C0"/>
    <w:rsid w:val="00117A25"/>
    <w:rsid w:val="00121293"/>
    <w:rsid w:val="00123F54"/>
    <w:rsid w:val="0013175F"/>
    <w:rsid w:val="0013364D"/>
    <w:rsid w:val="001343BB"/>
    <w:rsid w:val="00142D6E"/>
    <w:rsid w:val="001436CC"/>
    <w:rsid w:val="00145797"/>
    <w:rsid w:val="001512B4"/>
    <w:rsid w:val="001620A5"/>
    <w:rsid w:val="00162202"/>
    <w:rsid w:val="00164E53"/>
    <w:rsid w:val="0016699D"/>
    <w:rsid w:val="001670D9"/>
    <w:rsid w:val="00170960"/>
    <w:rsid w:val="00175159"/>
    <w:rsid w:val="00175AD7"/>
    <w:rsid w:val="00176208"/>
    <w:rsid w:val="0017780C"/>
    <w:rsid w:val="0017788B"/>
    <w:rsid w:val="001813B2"/>
    <w:rsid w:val="0018211B"/>
    <w:rsid w:val="00183FE1"/>
    <w:rsid w:val="001840D3"/>
    <w:rsid w:val="00184782"/>
    <w:rsid w:val="00187A8A"/>
    <w:rsid w:val="001900F8"/>
    <w:rsid w:val="00191258"/>
    <w:rsid w:val="00192680"/>
    <w:rsid w:val="00193037"/>
    <w:rsid w:val="00193375"/>
    <w:rsid w:val="00193A2C"/>
    <w:rsid w:val="001A288E"/>
    <w:rsid w:val="001A6A28"/>
    <w:rsid w:val="001B6DC2"/>
    <w:rsid w:val="001B754B"/>
    <w:rsid w:val="001C149C"/>
    <w:rsid w:val="001C21AC"/>
    <w:rsid w:val="001C3689"/>
    <w:rsid w:val="001C47BA"/>
    <w:rsid w:val="001C59EA"/>
    <w:rsid w:val="001C635D"/>
    <w:rsid w:val="001D406C"/>
    <w:rsid w:val="001D41EE"/>
    <w:rsid w:val="001D4BEB"/>
    <w:rsid w:val="001D71E6"/>
    <w:rsid w:val="001D794F"/>
    <w:rsid w:val="001E0380"/>
    <w:rsid w:val="001E0B1B"/>
    <w:rsid w:val="001E13B1"/>
    <w:rsid w:val="001E2153"/>
    <w:rsid w:val="001F3A19"/>
    <w:rsid w:val="002009E4"/>
    <w:rsid w:val="00201053"/>
    <w:rsid w:val="0020251B"/>
    <w:rsid w:val="00204DF1"/>
    <w:rsid w:val="00206CC0"/>
    <w:rsid w:val="002073D3"/>
    <w:rsid w:val="0021347F"/>
    <w:rsid w:val="00214763"/>
    <w:rsid w:val="00215D48"/>
    <w:rsid w:val="0021624B"/>
    <w:rsid w:val="0022185E"/>
    <w:rsid w:val="00227DD7"/>
    <w:rsid w:val="00227FED"/>
    <w:rsid w:val="0023030A"/>
    <w:rsid w:val="00230F08"/>
    <w:rsid w:val="00234467"/>
    <w:rsid w:val="00235BE6"/>
    <w:rsid w:val="00237D8D"/>
    <w:rsid w:val="00241DA2"/>
    <w:rsid w:val="00247FEE"/>
    <w:rsid w:val="00250E7D"/>
    <w:rsid w:val="002523DB"/>
    <w:rsid w:val="002527DD"/>
    <w:rsid w:val="00252DAA"/>
    <w:rsid w:val="002565D5"/>
    <w:rsid w:val="00260972"/>
    <w:rsid w:val="002622C0"/>
    <w:rsid w:val="0027348E"/>
    <w:rsid w:val="002778AE"/>
    <w:rsid w:val="0028269A"/>
    <w:rsid w:val="00283590"/>
    <w:rsid w:val="00286973"/>
    <w:rsid w:val="002872D6"/>
    <w:rsid w:val="00287674"/>
    <w:rsid w:val="002938A4"/>
    <w:rsid w:val="00294E70"/>
    <w:rsid w:val="00294F98"/>
    <w:rsid w:val="002954B8"/>
    <w:rsid w:val="002967B2"/>
    <w:rsid w:val="002A0424"/>
    <w:rsid w:val="002A0D70"/>
    <w:rsid w:val="002A1924"/>
    <w:rsid w:val="002A7420"/>
    <w:rsid w:val="002A7A7E"/>
    <w:rsid w:val="002B0F12"/>
    <w:rsid w:val="002B1308"/>
    <w:rsid w:val="002B31C8"/>
    <w:rsid w:val="002B4554"/>
    <w:rsid w:val="002B707C"/>
    <w:rsid w:val="002C0B8C"/>
    <w:rsid w:val="002C276D"/>
    <w:rsid w:val="002C72D8"/>
    <w:rsid w:val="002D11FA"/>
    <w:rsid w:val="002D17BC"/>
    <w:rsid w:val="002D19A4"/>
    <w:rsid w:val="002D6352"/>
    <w:rsid w:val="002D7DA5"/>
    <w:rsid w:val="002E0DDF"/>
    <w:rsid w:val="002E23A9"/>
    <w:rsid w:val="002E2906"/>
    <w:rsid w:val="002E5635"/>
    <w:rsid w:val="002E64C3"/>
    <w:rsid w:val="002E6A2C"/>
    <w:rsid w:val="002E77A6"/>
    <w:rsid w:val="002F035E"/>
    <w:rsid w:val="002F0FE8"/>
    <w:rsid w:val="002F1D8C"/>
    <w:rsid w:val="002F21DA"/>
    <w:rsid w:val="002F34B8"/>
    <w:rsid w:val="00301F39"/>
    <w:rsid w:val="00303D27"/>
    <w:rsid w:val="00305BEE"/>
    <w:rsid w:val="00313962"/>
    <w:rsid w:val="00321AF0"/>
    <w:rsid w:val="003234E0"/>
    <w:rsid w:val="00325926"/>
    <w:rsid w:val="00327A8A"/>
    <w:rsid w:val="003339A3"/>
    <w:rsid w:val="00336033"/>
    <w:rsid w:val="00336610"/>
    <w:rsid w:val="00341F5C"/>
    <w:rsid w:val="00343D23"/>
    <w:rsid w:val="00343F73"/>
    <w:rsid w:val="00345060"/>
    <w:rsid w:val="003451FB"/>
    <w:rsid w:val="00345367"/>
    <w:rsid w:val="00351001"/>
    <w:rsid w:val="00352629"/>
    <w:rsid w:val="0035278E"/>
    <w:rsid w:val="0035323B"/>
    <w:rsid w:val="00353D19"/>
    <w:rsid w:val="0035785A"/>
    <w:rsid w:val="003609D2"/>
    <w:rsid w:val="00363F22"/>
    <w:rsid w:val="00364940"/>
    <w:rsid w:val="003746B1"/>
    <w:rsid w:val="00375564"/>
    <w:rsid w:val="00376489"/>
    <w:rsid w:val="00383191"/>
    <w:rsid w:val="00386DED"/>
    <w:rsid w:val="003912E7"/>
    <w:rsid w:val="003937AE"/>
    <w:rsid w:val="00393947"/>
    <w:rsid w:val="00395141"/>
    <w:rsid w:val="003A2275"/>
    <w:rsid w:val="003A6A4F"/>
    <w:rsid w:val="003A7088"/>
    <w:rsid w:val="003B00DF"/>
    <w:rsid w:val="003B1275"/>
    <w:rsid w:val="003B1778"/>
    <w:rsid w:val="003C11CB"/>
    <w:rsid w:val="003C3017"/>
    <w:rsid w:val="003C4C68"/>
    <w:rsid w:val="003C6A77"/>
    <w:rsid w:val="003C75F3"/>
    <w:rsid w:val="003C78A3"/>
    <w:rsid w:val="003D36AB"/>
    <w:rsid w:val="003D36F8"/>
    <w:rsid w:val="003D3CBB"/>
    <w:rsid w:val="003E1867"/>
    <w:rsid w:val="003E5729"/>
    <w:rsid w:val="003E5DE8"/>
    <w:rsid w:val="003E683C"/>
    <w:rsid w:val="003E724E"/>
    <w:rsid w:val="003F1D40"/>
    <w:rsid w:val="003F22BB"/>
    <w:rsid w:val="003F2A5B"/>
    <w:rsid w:val="003F3EF3"/>
    <w:rsid w:val="003F4EE0"/>
    <w:rsid w:val="003F5559"/>
    <w:rsid w:val="00400473"/>
    <w:rsid w:val="00402153"/>
    <w:rsid w:val="00402C55"/>
    <w:rsid w:val="00402CED"/>
    <w:rsid w:val="00402E26"/>
    <w:rsid w:val="00402FC1"/>
    <w:rsid w:val="004120A6"/>
    <w:rsid w:val="00413CAC"/>
    <w:rsid w:val="004200D9"/>
    <w:rsid w:val="00425082"/>
    <w:rsid w:val="00431DEB"/>
    <w:rsid w:val="00434B3E"/>
    <w:rsid w:val="0044259D"/>
    <w:rsid w:val="004439D9"/>
    <w:rsid w:val="00446B29"/>
    <w:rsid w:val="004524BE"/>
    <w:rsid w:val="00453F9A"/>
    <w:rsid w:val="00454CC3"/>
    <w:rsid w:val="004633E7"/>
    <w:rsid w:val="00464903"/>
    <w:rsid w:val="00471E91"/>
    <w:rsid w:val="00472AB0"/>
    <w:rsid w:val="00474079"/>
    <w:rsid w:val="00474675"/>
    <w:rsid w:val="0047470C"/>
    <w:rsid w:val="00474973"/>
    <w:rsid w:val="0047549C"/>
    <w:rsid w:val="00477D42"/>
    <w:rsid w:val="00484C88"/>
    <w:rsid w:val="00486EC6"/>
    <w:rsid w:val="00491DA5"/>
    <w:rsid w:val="0049474C"/>
    <w:rsid w:val="00497234"/>
    <w:rsid w:val="004A203E"/>
    <w:rsid w:val="004A35F9"/>
    <w:rsid w:val="004A4662"/>
    <w:rsid w:val="004A7E02"/>
    <w:rsid w:val="004B157A"/>
    <w:rsid w:val="004B1697"/>
    <w:rsid w:val="004B24C1"/>
    <w:rsid w:val="004B2A6B"/>
    <w:rsid w:val="004B3092"/>
    <w:rsid w:val="004B49B1"/>
    <w:rsid w:val="004B557C"/>
    <w:rsid w:val="004C292F"/>
    <w:rsid w:val="004C657F"/>
    <w:rsid w:val="004D306F"/>
    <w:rsid w:val="004D4B02"/>
    <w:rsid w:val="004D4F76"/>
    <w:rsid w:val="004E4B13"/>
    <w:rsid w:val="004E4B8C"/>
    <w:rsid w:val="004E5A47"/>
    <w:rsid w:val="004F6674"/>
    <w:rsid w:val="005036E2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30F7"/>
    <w:rsid w:val="00525656"/>
    <w:rsid w:val="00525BF3"/>
    <w:rsid w:val="00534C02"/>
    <w:rsid w:val="0054044C"/>
    <w:rsid w:val="0054264B"/>
    <w:rsid w:val="00543529"/>
    <w:rsid w:val="00543786"/>
    <w:rsid w:val="00545A49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10BC"/>
    <w:rsid w:val="0057334E"/>
    <w:rsid w:val="005755F1"/>
    <w:rsid w:val="00582BBE"/>
    <w:rsid w:val="00583CD3"/>
    <w:rsid w:val="0058464E"/>
    <w:rsid w:val="0058650E"/>
    <w:rsid w:val="00597361"/>
    <w:rsid w:val="005A01CB"/>
    <w:rsid w:val="005A19A9"/>
    <w:rsid w:val="005A58FF"/>
    <w:rsid w:val="005A5EAF"/>
    <w:rsid w:val="005A6491"/>
    <w:rsid w:val="005A64C0"/>
    <w:rsid w:val="005B1985"/>
    <w:rsid w:val="005B3C11"/>
    <w:rsid w:val="005B5F61"/>
    <w:rsid w:val="005C1C28"/>
    <w:rsid w:val="005C323F"/>
    <w:rsid w:val="005C43D0"/>
    <w:rsid w:val="005C6833"/>
    <w:rsid w:val="005C6DB5"/>
    <w:rsid w:val="005D3842"/>
    <w:rsid w:val="005D5525"/>
    <w:rsid w:val="005E1527"/>
    <w:rsid w:val="005E19E7"/>
    <w:rsid w:val="005E1D1E"/>
    <w:rsid w:val="005E2392"/>
    <w:rsid w:val="00601622"/>
    <w:rsid w:val="00602CDC"/>
    <w:rsid w:val="00610062"/>
    <w:rsid w:val="0061037E"/>
    <w:rsid w:val="00613FAA"/>
    <w:rsid w:val="00616C36"/>
    <w:rsid w:val="00617106"/>
    <w:rsid w:val="0061716C"/>
    <w:rsid w:val="006171AF"/>
    <w:rsid w:val="00617868"/>
    <w:rsid w:val="006214B4"/>
    <w:rsid w:val="006243A1"/>
    <w:rsid w:val="00625FCD"/>
    <w:rsid w:val="00626005"/>
    <w:rsid w:val="00632E56"/>
    <w:rsid w:val="00635CBA"/>
    <w:rsid w:val="00636EFC"/>
    <w:rsid w:val="0064338B"/>
    <w:rsid w:val="006433A4"/>
    <w:rsid w:val="00646542"/>
    <w:rsid w:val="006504F4"/>
    <w:rsid w:val="0065366F"/>
    <w:rsid w:val="00654BC9"/>
    <w:rsid w:val="00654C62"/>
    <w:rsid w:val="006552FD"/>
    <w:rsid w:val="00656F0B"/>
    <w:rsid w:val="00663733"/>
    <w:rsid w:val="00663AF3"/>
    <w:rsid w:val="00666B6C"/>
    <w:rsid w:val="0067185C"/>
    <w:rsid w:val="0067644B"/>
    <w:rsid w:val="00677B54"/>
    <w:rsid w:val="00682682"/>
    <w:rsid w:val="00682702"/>
    <w:rsid w:val="00692368"/>
    <w:rsid w:val="0069269F"/>
    <w:rsid w:val="00695192"/>
    <w:rsid w:val="006A2D2D"/>
    <w:rsid w:val="006A2EBC"/>
    <w:rsid w:val="006A5EA0"/>
    <w:rsid w:val="006A783B"/>
    <w:rsid w:val="006A7B33"/>
    <w:rsid w:val="006B0E1B"/>
    <w:rsid w:val="006B4E13"/>
    <w:rsid w:val="006B75DD"/>
    <w:rsid w:val="006C047C"/>
    <w:rsid w:val="006C2C54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E06AD"/>
    <w:rsid w:val="006E1D68"/>
    <w:rsid w:val="006E3675"/>
    <w:rsid w:val="006E4A7F"/>
    <w:rsid w:val="006F0967"/>
    <w:rsid w:val="006F0A21"/>
    <w:rsid w:val="006F2274"/>
    <w:rsid w:val="006F3F16"/>
    <w:rsid w:val="006F64A0"/>
    <w:rsid w:val="0070038F"/>
    <w:rsid w:val="007027B1"/>
    <w:rsid w:val="0070286C"/>
    <w:rsid w:val="00704DF6"/>
    <w:rsid w:val="0070641D"/>
    <w:rsid w:val="0070651C"/>
    <w:rsid w:val="007132A3"/>
    <w:rsid w:val="00716421"/>
    <w:rsid w:val="00721419"/>
    <w:rsid w:val="00724EFB"/>
    <w:rsid w:val="00726575"/>
    <w:rsid w:val="00730310"/>
    <w:rsid w:val="00731751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1E8B"/>
    <w:rsid w:val="00763502"/>
    <w:rsid w:val="00765BE4"/>
    <w:rsid w:val="0078360C"/>
    <w:rsid w:val="007913AB"/>
    <w:rsid w:val="007914F7"/>
    <w:rsid w:val="00792DB0"/>
    <w:rsid w:val="00794D4A"/>
    <w:rsid w:val="00795C73"/>
    <w:rsid w:val="0079697B"/>
    <w:rsid w:val="007A4809"/>
    <w:rsid w:val="007B1625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A50"/>
    <w:rsid w:val="007D3D60"/>
    <w:rsid w:val="007D46E9"/>
    <w:rsid w:val="007D48E3"/>
    <w:rsid w:val="007E0A48"/>
    <w:rsid w:val="007E1980"/>
    <w:rsid w:val="007E4B76"/>
    <w:rsid w:val="007E5043"/>
    <w:rsid w:val="007E5EA8"/>
    <w:rsid w:val="007E78C7"/>
    <w:rsid w:val="007F0CF1"/>
    <w:rsid w:val="007F12A5"/>
    <w:rsid w:val="007F2D74"/>
    <w:rsid w:val="007F3FB7"/>
    <w:rsid w:val="007F4CF1"/>
    <w:rsid w:val="007F758D"/>
    <w:rsid w:val="007F7D52"/>
    <w:rsid w:val="0080484A"/>
    <w:rsid w:val="00805589"/>
    <w:rsid w:val="008057A5"/>
    <w:rsid w:val="00805E2F"/>
    <w:rsid w:val="0080654C"/>
    <w:rsid w:val="008071C6"/>
    <w:rsid w:val="008166FA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504A8"/>
    <w:rsid w:val="00851111"/>
    <w:rsid w:val="00851B58"/>
    <w:rsid w:val="0085282E"/>
    <w:rsid w:val="00854978"/>
    <w:rsid w:val="008578F1"/>
    <w:rsid w:val="00861DBB"/>
    <w:rsid w:val="00867550"/>
    <w:rsid w:val="0087198C"/>
    <w:rsid w:val="00872C1F"/>
    <w:rsid w:val="00873B42"/>
    <w:rsid w:val="00877CB0"/>
    <w:rsid w:val="008805AC"/>
    <w:rsid w:val="00880D1A"/>
    <w:rsid w:val="00884468"/>
    <w:rsid w:val="008856D8"/>
    <w:rsid w:val="00892E82"/>
    <w:rsid w:val="00893277"/>
    <w:rsid w:val="00895FA9"/>
    <w:rsid w:val="008A1035"/>
    <w:rsid w:val="008A6E08"/>
    <w:rsid w:val="008B1B43"/>
    <w:rsid w:val="008B2139"/>
    <w:rsid w:val="008C0BE9"/>
    <w:rsid w:val="008C1B58"/>
    <w:rsid w:val="008C283C"/>
    <w:rsid w:val="008C39AE"/>
    <w:rsid w:val="008C40DF"/>
    <w:rsid w:val="008C590D"/>
    <w:rsid w:val="008D447E"/>
    <w:rsid w:val="008D7566"/>
    <w:rsid w:val="008E031B"/>
    <w:rsid w:val="008E0560"/>
    <w:rsid w:val="008E2D8C"/>
    <w:rsid w:val="008E6187"/>
    <w:rsid w:val="008E7029"/>
    <w:rsid w:val="008E7EF6"/>
    <w:rsid w:val="008F0D9B"/>
    <w:rsid w:val="008F1F98"/>
    <w:rsid w:val="008F2340"/>
    <w:rsid w:val="008F2790"/>
    <w:rsid w:val="008F2E89"/>
    <w:rsid w:val="008F3CE8"/>
    <w:rsid w:val="008F6758"/>
    <w:rsid w:val="009040DD"/>
    <w:rsid w:val="00905B47"/>
    <w:rsid w:val="0090690F"/>
    <w:rsid w:val="00911391"/>
    <w:rsid w:val="0091331C"/>
    <w:rsid w:val="009137BD"/>
    <w:rsid w:val="0091503D"/>
    <w:rsid w:val="00924879"/>
    <w:rsid w:val="00926971"/>
    <w:rsid w:val="009279DE"/>
    <w:rsid w:val="00927AB9"/>
    <w:rsid w:val="00927B37"/>
    <w:rsid w:val="00930116"/>
    <w:rsid w:val="00930625"/>
    <w:rsid w:val="00933BB7"/>
    <w:rsid w:val="00941082"/>
    <w:rsid w:val="0094212C"/>
    <w:rsid w:val="00944853"/>
    <w:rsid w:val="0094609D"/>
    <w:rsid w:val="0095378C"/>
    <w:rsid w:val="00954689"/>
    <w:rsid w:val="0095472A"/>
    <w:rsid w:val="0096085A"/>
    <w:rsid w:val="009617C9"/>
    <w:rsid w:val="00961C93"/>
    <w:rsid w:val="00962B4E"/>
    <w:rsid w:val="00965324"/>
    <w:rsid w:val="0097091E"/>
    <w:rsid w:val="0097244F"/>
    <w:rsid w:val="009760D3"/>
    <w:rsid w:val="00977132"/>
    <w:rsid w:val="00981A4B"/>
    <w:rsid w:val="00982250"/>
    <w:rsid w:val="00982501"/>
    <w:rsid w:val="00983D33"/>
    <w:rsid w:val="0098475F"/>
    <w:rsid w:val="009877D3"/>
    <w:rsid w:val="009915A4"/>
    <w:rsid w:val="00992400"/>
    <w:rsid w:val="00992690"/>
    <w:rsid w:val="00994247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4B5B"/>
    <w:rsid w:val="009B603A"/>
    <w:rsid w:val="009B6B38"/>
    <w:rsid w:val="009C237D"/>
    <w:rsid w:val="009C2D0E"/>
    <w:rsid w:val="009C3DAC"/>
    <w:rsid w:val="009C42E0"/>
    <w:rsid w:val="009D3230"/>
    <w:rsid w:val="009D5362"/>
    <w:rsid w:val="009E1415"/>
    <w:rsid w:val="009E6116"/>
    <w:rsid w:val="009E7E25"/>
    <w:rsid w:val="009E7FB5"/>
    <w:rsid w:val="00A02E43"/>
    <w:rsid w:val="00A05368"/>
    <w:rsid w:val="00A065F9"/>
    <w:rsid w:val="00A07011"/>
    <w:rsid w:val="00A07F34"/>
    <w:rsid w:val="00A22154"/>
    <w:rsid w:val="00A24058"/>
    <w:rsid w:val="00A25C38"/>
    <w:rsid w:val="00A3250D"/>
    <w:rsid w:val="00A32B18"/>
    <w:rsid w:val="00A33502"/>
    <w:rsid w:val="00A35683"/>
    <w:rsid w:val="00A35824"/>
    <w:rsid w:val="00A35E69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5705C"/>
    <w:rsid w:val="00A60927"/>
    <w:rsid w:val="00A649C0"/>
    <w:rsid w:val="00A6730D"/>
    <w:rsid w:val="00A71625"/>
    <w:rsid w:val="00A71B9B"/>
    <w:rsid w:val="00A751C7"/>
    <w:rsid w:val="00A80008"/>
    <w:rsid w:val="00A833F0"/>
    <w:rsid w:val="00A84CE5"/>
    <w:rsid w:val="00A87844"/>
    <w:rsid w:val="00A9227B"/>
    <w:rsid w:val="00A958C1"/>
    <w:rsid w:val="00A97A55"/>
    <w:rsid w:val="00AA038C"/>
    <w:rsid w:val="00AA3E02"/>
    <w:rsid w:val="00AA7A09"/>
    <w:rsid w:val="00AB3B50"/>
    <w:rsid w:val="00AB6C66"/>
    <w:rsid w:val="00AB7391"/>
    <w:rsid w:val="00AC05B1"/>
    <w:rsid w:val="00AC450C"/>
    <w:rsid w:val="00AD340B"/>
    <w:rsid w:val="00AD356C"/>
    <w:rsid w:val="00AE2914"/>
    <w:rsid w:val="00AE6D15"/>
    <w:rsid w:val="00AE7023"/>
    <w:rsid w:val="00AE78AA"/>
    <w:rsid w:val="00AF0EF3"/>
    <w:rsid w:val="00AF1F49"/>
    <w:rsid w:val="00AF2D81"/>
    <w:rsid w:val="00B04182"/>
    <w:rsid w:val="00B05ECF"/>
    <w:rsid w:val="00B07AE3"/>
    <w:rsid w:val="00B11430"/>
    <w:rsid w:val="00B12A5D"/>
    <w:rsid w:val="00B12CB8"/>
    <w:rsid w:val="00B14872"/>
    <w:rsid w:val="00B20376"/>
    <w:rsid w:val="00B242F4"/>
    <w:rsid w:val="00B2477A"/>
    <w:rsid w:val="00B24D1C"/>
    <w:rsid w:val="00B30072"/>
    <w:rsid w:val="00B30481"/>
    <w:rsid w:val="00B32D8A"/>
    <w:rsid w:val="00B3312F"/>
    <w:rsid w:val="00B353EB"/>
    <w:rsid w:val="00B4016F"/>
    <w:rsid w:val="00B407AC"/>
    <w:rsid w:val="00B439C4"/>
    <w:rsid w:val="00B4450C"/>
    <w:rsid w:val="00B4535E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2383"/>
    <w:rsid w:val="00B9397A"/>
    <w:rsid w:val="00B9633D"/>
    <w:rsid w:val="00B967D5"/>
    <w:rsid w:val="00B96FC3"/>
    <w:rsid w:val="00BA2EBE"/>
    <w:rsid w:val="00BB0F28"/>
    <w:rsid w:val="00BB458A"/>
    <w:rsid w:val="00BB693F"/>
    <w:rsid w:val="00BB7D24"/>
    <w:rsid w:val="00BC0A8E"/>
    <w:rsid w:val="00BC2F78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3635"/>
    <w:rsid w:val="00BE55CB"/>
    <w:rsid w:val="00BE7067"/>
    <w:rsid w:val="00BF23AE"/>
    <w:rsid w:val="00BF3BB2"/>
    <w:rsid w:val="00BF617A"/>
    <w:rsid w:val="00C0379D"/>
    <w:rsid w:val="00C03931"/>
    <w:rsid w:val="00C05FE3"/>
    <w:rsid w:val="00C073FB"/>
    <w:rsid w:val="00C10282"/>
    <w:rsid w:val="00C11DA9"/>
    <w:rsid w:val="00C2136D"/>
    <w:rsid w:val="00C214EE"/>
    <w:rsid w:val="00C2314B"/>
    <w:rsid w:val="00C244A0"/>
    <w:rsid w:val="00C24971"/>
    <w:rsid w:val="00C25355"/>
    <w:rsid w:val="00C26BE5"/>
    <w:rsid w:val="00C26E4D"/>
    <w:rsid w:val="00C27909"/>
    <w:rsid w:val="00C27B03"/>
    <w:rsid w:val="00C3129F"/>
    <w:rsid w:val="00C314E1"/>
    <w:rsid w:val="00C34397"/>
    <w:rsid w:val="00C371FA"/>
    <w:rsid w:val="00C40503"/>
    <w:rsid w:val="00C4095D"/>
    <w:rsid w:val="00C57A9C"/>
    <w:rsid w:val="00C601D2"/>
    <w:rsid w:val="00C637F5"/>
    <w:rsid w:val="00C65BCC"/>
    <w:rsid w:val="00C66970"/>
    <w:rsid w:val="00C66E99"/>
    <w:rsid w:val="00C71F4D"/>
    <w:rsid w:val="00C835A9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A4CD2"/>
    <w:rsid w:val="00CB6E3D"/>
    <w:rsid w:val="00CB722E"/>
    <w:rsid w:val="00CC3699"/>
    <w:rsid w:val="00CC3E0C"/>
    <w:rsid w:val="00CC58D3"/>
    <w:rsid w:val="00CC784D"/>
    <w:rsid w:val="00CF1E15"/>
    <w:rsid w:val="00CF25CA"/>
    <w:rsid w:val="00D00A8D"/>
    <w:rsid w:val="00D03268"/>
    <w:rsid w:val="00D0337B"/>
    <w:rsid w:val="00D07777"/>
    <w:rsid w:val="00D079B2"/>
    <w:rsid w:val="00D07A95"/>
    <w:rsid w:val="00D101FA"/>
    <w:rsid w:val="00D114E9"/>
    <w:rsid w:val="00D17CD8"/>
    <w:rsid w:val="00D213B2"/>
    <w:rsid w:val="00D2527C"/>
    <w:rsid w:val="00D313B3"/>
    <w:rsid w:val="00D3421D"/>
    <w:rsid w:val="00D355BE"/>
    <w:rsid w:val="00D35B8E"/>
    <w:rsid w:val="00D40F07"/>
    <w:rsid w:val="00D429C6"/>
    <w:rsid w:val="00D42EFB"/>
    <w:rsid w:val="00D47748"/>
    <w:rsid w:val="00D5178F"/>
    <w:rsid w:val="00D518DF"/>
    <w:rsid w:val="00D54CC3"/>
    <w:rsid w:val="00D6041A"/>
    <w:rsid w:val="00D61258"/>
    <w:rsid w:val="00D633EB"/>
    <w:rsid w:val="00D736AC"/>
    <w:rsid w:val="00D747AA"/>
    <w:rsid w:val="00D75A7E"/>
    <w:rsid w:val="00D82FF7"/>
    <w:rsid w:val="00D847FE"/>
    <w:rsid w:val="00D86B9C"/>
    <w:rsid w:val="00D900CD"/>
    <w:rsid w:val="00D90A39"/>
    <w:rsid w:val="00D964EA"/>
    <w:rsid w:val="00D966D0"/>
    <w:rsid w:val="00DA0C59"/>
    <w:rsid w:val="00DA1D7C"/>
    <w:rsid w:val="00DA3991"/>
    <w:rsid w:val="00DA72A1"/>
    <w:rsid w:val="00DA7F95"/>
    <w:rsid w:val="00DB01F1"/>
    <w:rsid w:val="00DB3222"/>
    <w:rsid w:val="00DB7E6C"/>
    <w:rsid w:val="00DC4F68"/>
    <w:rsid w:val="00DC64B0"/>
    <w:rsid w:val="00DC6631"/>
    <w:rsid w:val="00DC6B1E"/>
    <w:rsid w:val="00DD04AB"/>
    <w:rsid w:val="00DD252A"/>
    <w:rsid w:val="00DD5949"/>
    <w:rsid w:val="00DD5A29"/>
    <w:rsid w:val="00DD5D9D"/>
    <w:rsid w:val="00DE35CB"/>
    <w:rsid w:val="00DF08CF"/>
    <w:rsid w:val="00DF0EF0"/>
    <w:rsid w:val="00DF21E9"/>
    <w:rsid w:val="00DF22C7"/>
    <w:rsid w:val="00DF5CC9"/>
    <w:rsid w:val="00E00F14"/>
    <w:rsid w:val="00E01CB8"/>
    <w:rsid w:val="00E06386"/>
    <w:rsid w:val="00E075C5"/>
    <w:rsid w:val="00E1051A"/>
    <w:rsid w:val="00E11668"/>
    <w:rsid w:val="00E118E7"/>
    <w:rsid w:val="00E122B7"/>
    <w:rsid w:val="00E130B1"/>
    <w:rsid w:val="00E151C7"/>
    <w:rsid w:val="00E21B55"/>
    <w:rsid w:val="00E221D3"/>
    <w:rsid w:val="00E224DC"/>
    <w:rsid w:val="00E228C8"/>
    <w:rsid w:val="00E240FF"/>
    <w:rsid w:val="00E24EB4"/>
    <w:rsid w:val="00E25E4C"/>
    <w:rsid w:val="00E27317"/>
    <w:rsid w:val="00E300AE"/>
    <w:rsid w:val="00E30635"/>
    <w:rsid w:val="00E320ED"/>
    <w:rsid w:val="00E33AFB"/>
    <w:rsid w:val="00E34218"/>
    <w:rsid w:val="00E4555B"/>
    <w:rsid w:val="00E458FE"/>
    <w:rsid w:val="00E46282"/>
    <w:rsid w:val="00E47530"/>
    <w:rsid w:val="00E5216E"/>
    <w:rsid w:val="00E5529C"/>
    <w:rsid w:val="00E571C0"/>
    <w:rsid w:val="00E657C6"/>
    <w:rsid w:val="00E75D40"/>
    <w:rsid w:val="00E81965"/>
    <w:rsid w:val="00E82344"/>
    <w:rsid w:val="00E84C82"/>
    <w:rsid w:val="00E84D64"/>
    <w:rsid w:val="00E87408"/>
    <w:rsid w:val="00E914C4"/>
    <w:rsid w:val="00E934F5"/>
    <w:rsid w:val="00E96961"/>
    <w:rsid w:val="00EA6112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3DD8"/>
    <w:rsid w:val="00F00DEC"/>
    <w:rsid w:val="00F05D60"/>
    <w:rsid w:val="00F07224"/>
    <w:rsid w:val="00F07FD3"/>
    <w:rsid w:val="00F10BC6"/>
    <w:rsid w:val="00F11BB5"/>
    <w:rsid w:val="00F1296C"/>
    <w:rsid w:val="00F1417B"/>
    <w:rsid w:val="00F1712D"/>
    <w:rsid w:val="00F17A17"/>
    <w:rsid w:val="00F208A0"/>
    <w:rsid w:val="00F2115E"/>
    <w:rsid w:val="00F27B3D"/>
    <w:rsid w:val="00F30ABD"/>
    <w:rsid w:val="00F34697"/>
    <w:rsid w:val="00F34B99"/>
    <w:rsid w:val="00F40B02"/>
    <w:rsid w:val="00F41E81"/>
    <w:rsid w:val="00F45DE7"/>
    <w:rsid w:val="00F51720"/>
    <w:rsid w:val="00F51CF2"/>
    <w:rsid w:val="00F52DAB"/>
    <w:rsid w:val="00F543F0"/>
    <w:rsid w:val="00F55E3E"/>
    <w:rsid w:val="00F57601"/>
    <w:rsid w:val="00F67D36"/>
    <w:rsid w:val="00F73F99"/>
    <w:rsid w:val="00F75F80"/>
    <w:rsid w:val="00F77A7D"/>
    <w:rsid w:val="00F81D29"/>
    <w:rsid w:val="00F865B9"/>
    <w:rsid w:val="00F90BE5"/>
    <w:rsid w:val="00F91C4D"/>
    <w:rsid w:val="00F92FD9"/>
    <w:rsid w:val="00FA37B1"/>
    <w:rsid w:val="00FA3E0B"/>
    <w:rsid w:val="00FA5EF7"/>
    <w:rsid w:val="00FA6684"/>
    <w:rsid w:val="00FA731E"/>
    <w:rsid w:val="00FA7BD0"/>
    <w:rsid w:val="00FB15B4"/>
    <w:rsid w:val="00FB1DCF"/>
    <w:rsid w:val="00FB2B38"/>
    <w:rsid w:val="00FB61CE"/>
    <w:rsid w:val="00FB79E4"/>
    <w:rsid w:val="00FB7A07"/>
    <w:rsid w:val="00FC04CC"/>
    <w:rsid w:val="00FC2066"/>
    <w:rsid w:val="00FC6358"/>
    <w:rsid w:val="00FC749A"/>
    <w:rsid w:val="00FD1381"/>
    <w:rsid w:val="00FD320D"/>
    <w:rsid w:val="00FE1B98"/>
    <w:rsid w:val="00FE23DE"/>
    <w:rsid w:val="00FF1801"/>
    <w:rsid w:val="00FF6842"/>
    <w:rsid w:val="0D250C70"/>
    <w:rsid w:val="11175397"/>
    <w:rsid w:val="266A0342"/>
    <w:rsid w:val="27DD1C47"/>
    <w:rsid w:val="2A3E39AF"/>
    <w:rsid w:val="5D7A2D10"/>
    <w:rsid w:val="7B596A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qFormat="1" w:unhideWhenUsed="0" w:uiPriority="0" w:name="toc 4"/>
    <w:lsdException w:unhideWhenUsed="0" w:uiPriority="0" w:name="toc 5"/>
    <w:lsdException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nhideWhenUsed="0" w:uiPriority="0" w:semiHidden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uiPriority w:val="0"/>
    <w:pPr>
      <w:snapToGrid w:val="0"/>
      <w:jc w:val="left"/>
    </w:pPr>
  </w:style>
  <w:style w:type="paragraph" w:styleId="14">
    <w:name w:val="Balloon Text"/>
    <w:basedOn w:val="1"/>
    <w:link w:val="137"/>
    <w:uiPriority w:val="0"/>
    <w:rPr>
      <w:sz w:val="18"/>
      <w:szCs w:val="18"/>
    </w:rPr>
  </w:style>
  <w:style w:type="paragraph" w:styleId="15">
    <w:name w:val="footer"/>
    <w:basedOn w:val="1"/>
    <w:link w:val="139"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0">
    <w:name w:val="endnote reference"/>
    <w:semiHidden/>
    <w:uiPriority w:val="0"/>
    <w:rPr>
      <w:vertAlign w:val="superscript"/>
    </w:rPr>
  </w:style>
  <w:style w:type="character" w:styleId="31">
    <w:name w:val="page number"/>
    <w:uiPriority w:val="0"/>
    <w:rPr>
      <w:rFonts w:ascii="Times New Roman" w:hAnsi="Times New Roman" w:eastAsia="宋体"/>
      <w:sz w:val="18"/>
    </w:rPr>
  </w:style>
  <w:style w:type="character" w:styleId="32">
    <w:name w:val="FollowedHyperlink"/>
    <w:uiPriority w:val="0"/>
    <w:rPr>
      <w:color w:val="800080"/>
      <w:u w:val="single"/>
    </w:rPr>
  </w:style>
  <w:style w:type="character" w:styleId="33">
    <w:name w:val="Hyperlink"/>
    <w:uiPriority w:val="0"/>
    <w:rPr>
      <w:color w:val="0000FF"/>
      <w:spacing w:val="0"/>
      <w:w w:val="100"/>
      <w:szCs w:val="21"/>
      <w:u w:val="single"/>
    </w:rPr>
  </w:style>
  <w:style w:type="character" w:styleId="34">
    <w:name w:val="footnote reference"/>
    <w:semiHidden/>
    <w:uiPriority w:val="0"/>
    <w:rPr>
      <w:vertAlign w:val="superscript"/>
    </w:rPr>
  </w:style>
  <w:style w:type="table" w:styleId="36">
    <w:name w:val="Table Grid"/>
    <w:basedOn w:val="3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link w:val="13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qFormat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qFormat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1"/>
    <w:uiPriority w:val="0"/>
    <w:pPr>
      <w:numPr>
        <w:numId w:val="9"/>
      </w:numPr>
      <w:ind w:left="726" w:hanging="363"/>
    </w:pPr>
  </w:style>
  <w:style w:type="paragraph" w:customStyle="1" w:styleId="61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qFormat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  <w:rPr>
      <w:rFonts w:ascii="宋体"/>
      <w:sz w:val="21"/>
      <w:lang w:val="en-US" w:eastAsia="zh-CN" w:bidi="ar-SA"/>
    </w:rPr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qFormat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qFormat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11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link w:val="112"/>
    <w:uiPriority w:val="0"/>
    <w:rPr>
      <w:rFonts w:ascii="宋体" w:hAnsi="宋体"/>
      <w:kern w:val="2"/>
      <w:sz w:val="18"/>
      <w:szCs w:val="18"/>
    </w:rPr>
  </w:style>
  <w:style w:type="paragraph" w:customStyle="1" w:styleId="114">
    <w:name w:val="四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qFormat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正文表标题"/>
    <w:next w:val="21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qFormat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7">
    <w:name w:val="其他实施日期"/>
    <w:basedOn w:val="110"/>
    <w:uiPriority w:val="0"/>
  </w:style>
  <w:style w:type="paragraph" w:customStyle="1" w:styleId="128">
    <w:name w:val="封面标准名称2"/>
    <w:basedOn w:val="74"/>
    <w:qFormat/>
    <w:uiPriority w:val="0"/>
    <w:pPr>
      <w:framePr w:y="4469"/>
      <w:spacing w:beforeLines="630"/>
    </w:pPr>
  </w:style>
  <w:style w:type="paragraph" w:customStyle="1" w:styleId="129">
    <w:name w:val="封面标准英文名称2"/>
    <w:basedOn w:val="75"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uiPriority w:val="0"/>
    <w:pPr>
      <w:framePr w:y="4469"/>
    </w:pPr>
  </w:style>
  <w:style w:type="paragraph" w:customStyle="1" w:styleId="133">
    <w:name w:val="标准名称"/>
    <w:basedOn w:val="46"/>
    <w:link w:val="136"/>
    <w:qFormat/>
    <w:uiPriority w:val="0"/>
  </w:style>
  <w:style w:type="character" w:customStyle="1" w:styleId="134">
    <w:name w:val="Placeholder Text"/>
    <w:basedOn w:val="29"/>
    <w:semiHidden/>
    <w:uiPriority w:val="99"/>
    <w:rPr>
      <w:color w:val="808080"/>
    </w:rPr>
  </w:style>
  <w:style w:type="character" w:customStyle="1" w:styleId="135">
    <w:name w:val="目次、标准名称标题 Char"/>
    <w:basedOn w:val="29"/>
    <w:link w:val="46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6">
    <w:name w:val="标准名称 Char"/>
    <w:basedOn w:val="135"/>
    <w:link w:val="133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7">
    <w:name w:val="批注框文本 Char"/>
    <w:basedOn w:val="29"/>
    <w:link w:val="14"/>
    <w:qFormat/>
    <w:uiPriority w:val="0"/>
    <w:rPr>
      <w:kern w:val="2"/>
      <w:sz w:val="18"/>
      <w:szCs w:val="18"/>
    </w:rPr>
  </w:style>
  <w:style w:type="paragraph" w:customStyle="1" w:styleId="138">
    <w:name w:val="Char Char Char1 Char Char Char Char Char Char Char"/>
    <w:basedOn w:val="1"/>
    <w:uiPriority w:val="0"/>
    <w:rPr>
      <w:rFonts w:ascii="Arial" w:hAnsi="Arial" w:cs="Arial"/>
      <w:sz w:val="20"/>
      <w:szCs w:val="20"/>
    </w:rPr>
  </w:style>
  <w:style w:type="character" w:customStyle="1" w:styleId="139">
    <w:name w:val="页脚 Char"/>
    <w:basedOn w:val="29"/>
    <w:link w:val="15"/>
    <w:uiPriority w:val="99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13A"/>
    <w:rsid w:val="0002647A"/>
    <w:rsid w:val="0002653F"/>
    <w:rsid w:val="00080DE3"/>
    <w:rsid w:val="00087E40"/>
    <w:rsid w:val="000C73CF"/>
    <w:rsid w:val="001132F9"/>
    <w:rsid w:val="00114ABC"/>
    <w:rsid w:val="001C16E0"/>
    <w:rsid w:val="002068C7"/>
    <w:rsid w:val="00300E0A"/>
    <w:rsid w:val="00323E80"/>
    <w:rsid w:val="003278EA"/>
    <w:rsid w:val="003372E5"/>
    <w:rsid w:val="003750AF"/>
    <w:rsid w:val="00430F92"/>
    <w:rsid w:val="004F113A"/>
    <w:rsid w:val="004F1EC5"/>
    <w:rsid w:val="00515A81"/>
    <w:rsid w:val="005335DD"/>
    <w:rsid w:val="00550BBB"/>
    <w:rsid w:val="00595E09"/>
    <w:rsid w:val="005C52B2"/>
    <w:rsid w:val="00674FBA"/>
    <w:rsid w:val="006D02E4"/>
    <w:rsid w:val="007216E9"/>
    <w:rsid w:val="007C6ACB"/>
    <w:rsid w:val="007E2797"/>
    <w:rsid w:val="00800293"/>
    <w:rsid w:val="00820E7E"/>
    <w:rsid w:val="00845F8C"/>
    <w:rsid w:val="00855C4F"/>
    <w:rsid w:val="008E024D"/>
    <w:rsid w:val="008F0268"/>
    <w:rsid w:val="00902EF8"/>
    <w:rsid w:val="00982DAC"/>
    <w:rsid w:val="009B16B1"/>
    <w:rsid w:val="009C743F"/>
    <w:rsid w:val="00A94E45"/>
    <w:rsid w:val="00AD6808"/>
    <w:rsid w:val="00B07792"/>
    <w:rsid w:val="00B22E5E"/>
    <w:rsid w:val="00B717AC"/>
    <w:rsid w:val="00BA2824"/>
    <w:rsid w:val="00BC67AA"/>
    <w:rsid w:val="00C875D2"/>
    <w:rsid w:val="00CA07D4"/>
    <w:rsid w:val="00CB0B2B"/>
    <w:rsid w:val="00D10AF6"/>
    <w:rsid w:val="00D4454B"/>
    <w:rsid w:val="00D65DD7"/>
    <w:rsid w:val="00DA4409"/>
    <w:rsid w:val="00E661CA"/>
    <w:rsid w:val="00E857F8"/>
    <w:rsid w:val="00E95A08"/>
    <w:rsid w:val="00EA15BD"/>
    <w:rsid w:val="00EA32AC"/>
    <w:rsid w:val="00F322FE"/>
    <w:rsid w:val="00F93653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111"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7">
    <w:name w:val="1112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28"/>
    <customShpInfo spid="_x0000_s1030"/>
    <customShpInfo spid="_x0000_s102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8</Pages>
  <Words>2690</Words>
  <Characters>991</Characters>
  <Lines>8</Lines>
  <Paragraphs>7</Paragraphs>
  <TotalTime>0</TotalTime>
  <ScaleCrop>false</ScaleCrop>
  <LinksUpToDate>false</LinksUpToDate>
  <CharactersWithSpaces>3674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2019-02-18T01:12:00Z</dcterms:created>
  <dc:creator>CNIS</dc:creator>
  <cp:lastModifiedBy>Administrator</cp:lastModifiedBy>
  <dcterms:modified xsi:type="dcterms:W3CDTF">2019-05-14T08:57:02Z</dcterms:modified>
  <dc:title>标准名称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