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点击此处添加中国标准文献分类号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B 05</w:t>
            </w:r>
            <w: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34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34-2011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rPr>
          <w:rFonts w:hint="eastAsia"/>
        </w:rPr>
        <w:t>樟林番荔枝栽培技术规程</w:t>
      </w: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szCs w:val="20"/>
        </w:rPr>
      </w:pPr>
      <w:r>
        <w:rPr>
          <w:rFonts w:hint="eastAsia" w:ascii="宋体"/>
          <w:szCs w:val="20"/>
        </w:rPr>
        <w:t>本标准按GB/T 1.1—2009《标准化工作导则第1部分：标准的结构和编写》的规定进行修订。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>本标准的8.2.4是强制性条文，其余条文是推荐性条文。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szCs w:val="20"/>
        </w:rPr>
      </w:pPr>
      <w:r>
        <w:rPr>
          <w:rFonts w:hint="eastAsia" w:ascii="宋体"/>
          <w:szCs w:val="20"/>
        </w:rPr>
        <w:t>本标准与</w:t>
      </w:r>
      <w:r>
        <w:rPr>
          <w:rFonts w:ascii="宋体"/>
          <w:kern w:val="0"/>
          <w:szCs w:val="20"/>
        </w:rPr>
        <w:t>DB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440500</w:t>
      </w:r>
      <w:r>
        <w:rPr>
          <w:rFonts w:hint="eastAsia" w:ascii="宋体"/>
          <w:kern w:val="0"/>
          <w:szCs w:val="20"/>
        </w:rPr>
        <w:t>/T 34</w:t>
      </w:r>
      <w:r>
        <w:rPr>
          <w:rFonts w:ascii="宋体"/>
          <w:kern w:val="0"/>
          <w:szCs w:val="20"/>
        </w:rPr>
        <w:t>—20</w:t>
      </w:r>
      <w:r>
        <w:rPr>
          <w:rFonts w:hint="eastAsia" w:ascii="宋体"/>
          <w:kern w:val="0"/>
          <w:szCs w:val="20"/>
        </w:rPr>
        <w:t>11</w:t>
      </w:r>
      <w:r>
        <w:rPr>
          <w:rFonts w:hint="eastAsia" w:ascii="宋体"/>
          <w:szCs w:val="20"/>
        </w:rPr>
        <w:t>相比，除编辑性修改外，主要技术变化如下：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</w:rPr>
      </w:pPr>
      <w:r>
        <w:rPr>
          <w:rFonts w:hint="eastAsia" w:ascii="黑体" w:hAnsi="黑体" w:eastAsia="黑体"/>
        </w:rPr>
        <w:t>——</w:t>
      </w:r>
      <w:r>
        <w:rPr>
          <w:rFonts w:hint="eastAsia" w:ascii="宋体" w:hAnsi="宋体"/>
        </w:rPr>
        <w:t>对“规范性引用文件”的表述进行规范（见2）。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</w:t>
      </w:r>
      <w:r>
        <w:rPr>
          <w:rFonts w:hint="eastAsia" w:ascii="宋体"/>
          <w:kern w:val="0"/>
          <w:szCs w:val="20"/>
          <w:lang w:eastAsia="zh-CN"/>
        </w:rPr>
        <w:t>原</w:t>
      </w:r>
      <w:r>
        <w:rPr>
          <w:rFonts w:hint="eastAsia" w:ascii="宋体"/>
          <w:kern w:val="0"/>
          <w:szCs w:val="20"/>
        </w:rPr>
        <w:t>汕头市农业局提出。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本标准主要起草单位：汕头市果树研究中心、澄海区东里镇北联管理区。</w:t>
      </w:r>
    </w:p>
    <w:p>
      <w:pPr>
        <w:ind w:firstLine="420" w:firstLineChars="200"/>
      </w:pPr>
      <w:r>
        <w:rPr>
          <w:rFonts w:hint="eastAsia"/>
        </w:rPr>
        <w:t>本标准主要起草人：陈桂平、郑木川、曾少敏、杨惠文、陈若佳、宋裔源。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</w:t>
      </w:r>
      <w:r>
        <w:rPr>
          <w:rFonts w:hint="eastAsia" w:ascii="宋体" w:hAnsi="宋体"/>
        </w:rPr>
        <w:t>于2002年11月首次发布，2011年12月第一次修订，本次为第二次修订</w:t>
      </w:r>
      <w:r>
        <w:rPr>
          <w:rFonts w:hint="eastAsia" w:ascii="宋体"/>
          <w:kern w:val="0"/>
          <w:szCs w:val="20"/>
        </w:rPr>
        <w:t>。</w:t>
      </w:r>
    </w:p>
    <w:p>
      <w:pPr>
        <w:pStyle w:val="21"/>
        <w:ind w:firstLine="0" w:firstLineChars="0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樟林番荔枝栽培技术规程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color w:val="000000"/>
          <w:kern w:val="0"/>
        </w:rPr>
      </w:pPr>
      <w:r>
        <w:rPr>
          <w:rFonts w:hint="eastAsia" w:ascii="仿宋_GB2312" w:hAnsi="华文仿宋"/>
          <w:color w:val="000000"/>
          <w:kern w:val="0"/>
        </w:rPr>
        <w:t>本标准规定了樟林番荔枝的园地选择与规划、栽种、土肥水管理、整形修剪、花果管理、病虫害防治、采收等内容。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napToGrid w:val="0"/>
        <w:ind w:firstLine="420" w:firstLineChars="200"/>
        <w:rPr>
          <w:rFonts w:ascii="宋体"/>
          <w:color w:val="008000"/>
          <w:kern w:val="0"/>
          <w:szCs w:val="20"/>
        </w:rPr>
      </w:pPr>
      <w:r>
        <w:rPr>
          <w:rFonts w:hint="eastAsia" w:ascii="仿宋_GB2312" w:hAnsi="华文仿宋"/>
          <w:color w:val="000000"/>
          <w:kern w:val="0"/>
        </w:rPr>
        <w:t>本标准适用于汕头市辖区樟林番荔枝的栽培，</w:t>
      </w:r>
      <w:r>
        <w:rPr>
          <w:rFonts w:hint="eastAsia" w:ascii="仿宋_GB2312" w:hAnsi="华文仿宋"/>
          <w:kern w:val="0"/>
        </w:rPr>
        <w:t>亦可供</w:t>
      </w:r>
      <w:r>
        <w:rPr>
          <w:rFonts w:hint="eastAsia" w:ascii="仿宋_GB2312" w:hAnsi="华文仿宋"/>
          <w:color w:val="000000"/>
          <w:kern w:val="0"/>
        </w:rPr>
        <w:t>其它番荔枝品种</w:t>
      </w:r>
      <w:r>
        <w:rPr>
          <w:rFonts w:hint="eastAsia" w:ascii="仿宋_GB2312" w:hAnsi="华文仿宋"/>
          <w:kern w:val="0"/>
        </w:rPr>
        <w:t>参考。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ind w:firstLine="420" w:firstLineChars="200"/>
        <w:rPr>
          <w:rFonts w:ascii="仿宋_GB2312" w:hAnsi="华文仿宋"/>
          <w:color w:val="000000"/>
        </w:rPr>
      </w:pPr>
      <w:r>
        <w:rPr>
          <w:rFonts w:ascii="宋体"/>
          <w:color w:val="000000"/>
          <w:kern w:val="0"/>
          <w:szCs w:val="20"/>
        </w:rPr>
        <w:t>GB</w:t>
      </w:r>
      <w:r>
        <w:rPr>
          <w:rFonts w:hint="eastAsia" w:ascii="宋体"/>
          <w:color w:val="000000"/>
          <w:kern w:val="0"/>
          <w:szCs w:val="20"/>
        </w:rPr>
        <w:t xml:space="preserve"> </w:t>
      </w:r>
      <w:r>
        <w:rPr>
          <w:rFonts w:ascii="宋体"/>
          <w:color w:val="000000"/>
          <w:kern w:val="0"/>
          <w:szCs w:val="20"/>
        </w:rPr>
        <w:t>4284</w:t>
      </w:r>
      <w:r>
        <w:rPr>
          <w:rFonts w:ascii="仿宋_GB2312" w:hAnsi="华文仿宋"/>
          <w:color w:val="000000"/>
        </w:rPr>
        <w:t xml:space="preserve">  </w:t>
      </w:r>
      <w:r>
        <w:rPr>
          <w:rFonts w:hint="eastAsia" w:ascii="仿宋_GB2312" w:hAnsi="华文仿宋"/>
          <w:color w:val="000000"/>
        </w:rPr>
        <w:t>农用污泥中污染物控制标准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hint="eastAsia" w:ascii="仿宋_GB2312" w:hAnsi="华文仿宋"/>
          <w:color w:val="000000"/>
          <w:kern w:val="0"/>
        </w:rPr>
      </w:pPr>
      <w:r>
        <w:rPr>
          <w:rFonts w:ascii="宋体"/>
          <w:color w:val="000000"/>
          <w:kern w:val="0"/>
          <w:szCs w:val="20"/>
        </w:rPr>
        <w:t>GB/T</w:t>
      </w:r>
      <w:r>
        <w:rPr>
          <w:rFonts w:hint="eastAsia" w:ascii="宋体"/>
          <w:color w:val="000000"/>
          <w:kern w:val="0"/>
          <w:szCs w:val="20"/>
        </w:rPr>
        <w:t xml:space="preserve"> </w:t>
      </w:r>
      <w:r>
        <w:rPr>
          <w:rFonts w:ascii="宋体"/>
          <w:color w:val="000000"/>
          <w:kern w:val="0"/>
          <w:szCs w:val="20"/>
        </w:rPr>
        <w:t>8321</w:t>
      </w:r>
      <w:r>
        <w:rPr>
          <w:rFonts w:hint="eastAsia" w:ascii="宋体"/>
          <w:color w:val="000000"/>
          <w:kern w:val="0"/>
          <w:szCs w:val="20"/>
        </w:rPr>
        <w:t xml:space="preserve">  </w:t>
      </w:r>
      <w:r>
        <w:rPr>
          <w:rFonts w:hint="eastAsia" w:ascii="仿宋_GB2312" w:hAnsi="华文仿宋"/>
          <w:color w:val="000000"/>
          <w:kern w:val="0"/>
        </w:rPr>
        <w:t>农药合理使用准则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color w:val="auto"/>
          <w:kern w:val="0"/>
          <w:szCs w:val="20"/>
          <w:u w:val="none"/>
        </w:rPr>
      </w:pPr>
      <w:r>
        <w:rPr>
          <w:rFonts w:hint="eastAsia" w:asciiTheme="minorEastAsia" w:hAnsiTheme="minorEastAsia" w:eastAsiaTheme="minorEastAsia"/>
          <w:color w:val="auto"/>
          <w:u w:val="none"/>
        </w:rPr>
        <w:t>NY/T 1276</w:t>
      </w:r>
      <w:r>
        <w:rPr>
          <w:rFonts w:hint="eastAsia" w:asciiTheme="minorEastAsia" w:hAnsiTheme="minorEastAsia" w:eastAsiaTheme="minorEastAsia"/>
          <w:color w:val="auto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u w:val="none"/>
        </w:rPr>
        <w:t xml:space="preserve"> 农药安全使用规范 总则</w:t>
      </w:r>
    </w:p>
    <w:p>
      <w:pPr>
        <w:pStyle w:val="41"/>
        <w:spacing w:before="312" w:after="312"/>
      </w:pPr>
      <w:r>
        <w:rPr>
          <w:rFonts w:hint="eastAsia"/>
        </w:rPr>
        <w:t>园地选择与规划</w:t>
      </w:r>
    </w:p>
    <w:p>
      <w:pPr>
        <w:pStyle w:val="38"/>
        <w:spacing w:before="156" w:after="156"/>
      </w:pPr>
      <w:r>
        <w:rPr>
          <w:rFonts w:hint="eastAsia"/>
        </w:rPr>
        <w:t>园地选择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选择向阳避风、冷空气不积聚、土质疏松、肥沃的东南到西南向山坡地，坡度＜15°。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选择排灌方便的肥沃水田，最好底土系有贝壳。</w:t>
      </w:r>
    </w:p>
    <w:p>
      <w:pPr>
        <w:pStyle w:val="38"/>
        <w:spacing w:before="156" w:after="156"/>
      </w:pPr>
      <w:r>
        <w:rPr>
          <w:rFonts w:hint="eastAsia"/>
        </w:rPr>
        <w:t>规划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平地水田应搞好排水系统，地下水位高的应降至100 cm以下，起30 cm高畦。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定种植穴，种植株行距为3 m×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2.5～3.5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 xml:space="preserve"> m，每667 m</w:t>
      </w:r>
      <w:r>
        <w:rPr>
          <w:rFonts w:hint="eastAsia" w:asciiTheme="minorEastAsia" w:hAnsiTheme="minorEastAsia" w:eastAsiaTheme="minorEastAsia"/>
          <w:vertAlign w:val="superscript"/>
        </w:rPr>
        <w:t>2</w:t>
      </w:r>
      <w:r>
        <w:rPr>
          <w:rFonts w:hint="eastAsia" w:asciiTheme="minorEastAsia" w:hAnsiTheme="minorEastAsia" w:eastAsiaTheme="minorEastAsia"/>
        </w:rPr>
        <w:t>植（60～80）株。定植前（2～3）个月，水田果园起土墩30 cm×30 cm×30 cm，山地果园挖种植穴100 cm×80 cm×80 cm，施入基肥，并回填。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沿海果园应营造防护林带。</w:t>
      </w:r>
    </w:p>
    <w:p>
      <w:pPr>
        <w:pStyle w:val="41"/>
        <w:spacing w:before="312" w:after="312"/>
        <w:rPr>
          <w:color w:val="000000"/>
        </w:rPr>
      </w:pPr>
      <w:r>
        <w:rPr>
          <w:rFonts w:hint="eastAsia"/>
          <w:color w:val="000000"/>
        </w:rPr>
        <w:t>栽种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选用优良壮苗</w:t>
      </w:r>
    </w:p>
    <w:p>
      <w:pPr>
        <w:pStyle w:val="42"/>
        <w:spacing w:before="156" w:after="156"/>
      </w:pPr>
      <w:r>
        <w:rPr>
          <w:rFonts w:hint="eastAsia"/>
        </w:rPr>
        <w:t>实生苗</w:t>
      </w:r>
    </w:p>
    <w:p>
      <w:pPr>
        <w:widowControl/>
        <w:spacing w:beforeLines="50" w:afterLines="50"/>
        <w:ind w:firstLine="420" w:firstLineChars="200"/>
        <w:jc w:val="left"/>
        <w:outlineLvl w:val="3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</w:rPr>
        <w:t>通过“三选”疏播育壮苗，苗高</w:t>
      </w:r>
      <w:r>
        <w:rPr>
          <w:rFonts w:hint="eastAsia" w:ascii="宋体" w:hAnsi="宋体"/>
          <w:color w:val="000000"/>
          <w:kern w:val="0"/>
          <w:szCs w:val="21"/>
        </w:rPr>
        <w:t>5</w:t>
      </w:r>
      <w:r>
        <w:rPr>
          <w:rFonts w:ascii="宋体" w:hAnsi="宋体"/>
          <w:color w:val="000000"/>
          <w:kern w:val="0"/>
          <w:szCs w:val="21"/>
        </w:rPr>
        <w:t>0</w:t>
      </w:r>
      <w:r>
        <w:rPr>
          <w:rFonts w:hint="eastAsia" w:ascii="宋体" w:hAnsi="宋体"/>
          <w:color w:val="000000"/>
          <w:kern w:val="0"/>
          <w:szCs w:val="21"/>
        </w:rPr>
        <w:t xml:space="preserve"> cm</w:t>
      </w:r>
      <w:r>
        <w:rPr>
          <w:rFonts w:hint="eastAsia" w:ascii="宋体" w:hAnsi="宋体"/>
          <w:color w:val="000000"/>
          <w:kern w:val="0"/>
        </w:rPr>
        <w:t>以上，干粗</w:t>
      </w:r>
      <w:r>
        <w:rPr>
          <w:rFonts w:hint="eastAsia" w:ascii="宋体" w:hAnsi="宋体"/>
          <w:color w:val="000000"/>
          <w:kern w:val="0"/>
          <w:szCs w:val="21"/>
        </w:rPr>
        <w:t>1 cm</w:t>
      </w:r>
      <w:r>
        <w:rPr>
          <w:rFonts w:hint="eastAsia" w:ascii="宋体" w:hAnsi="宋体"/>
          <w:color w:val="000000"/>
          <w:kern w:val="0"/>
        </w:rPr>
        <w:t>以上，叶片翠绿无病虫害。</w:t>
      </w:r>
    </w:p>
    <w:p>
      <w:pPr>
        <w:pStyle w:val="42"/>
        <w:spacing w:before="156" w:after="156"/>
        <w:rPr>
          <w:color w:val="000000"/>
        </w:rPr>
      </w:pPr>
      <w:r>
        <w:rPr>
          <w:rFonts w:hint="eastAsia"/>
          <w:color w:val="000000"/>
        </w:rPr>
        <w:t>嫁接苗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采用本砧。从田间健壮的优良结果母株上选择枝条为接穗。嫁接前（3～7） </w:t>
      </w:r>
      <w:r>
        <w:rPr>
          <w:rFonts w:ascii="宋体"/>
          <w:kern w:val="0"/>
          <w:szCs w:val="20"/>
        </w:rPr>
        <w:t>d</w:t>
      </w:r>
      <w:r>
        <w:rPr>
          <w:rFonts w:hint="eastAsia" w:ascii="宋体"/>
          <w:kern w:val="0"/>
          <w:szCs w:val="20"/>
        </w:rPr>
        <w:t>预先摘去接穗的叶片，嫁接时，当天剪穗当天使用。单芽或双芽切接，嫁接口离地面8 cm左右。出圃苗高5</w:t>
      </w:r>
      <w:r>
        <w:rPr>
          <w:rFonts w:ascii="宋体"/>
          <w:kern w:val="0"/>
          <w:szCs w:val="20"/>
        </w:rPr>
        <w:t>0</w:t>
      </w:r>
      <w:r>
        <w:rPr>
          <w:rFonts w:hint="eastAsia" w:ascii="宋体"/>
          <w:kern w:val="0"/>
          <w:szCs w:val="20"/>
        </w:rPr>
        <w:t xml:space="preserve"> cm，有3条分枝，主干粗1 cm以上，叶翠绿，无病虫。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定植时间</w:t>
      </w:r>
    </w:p>
    <w:p>
      <w:pPr>
        <w:widowControl/>
        <w:spacing w:beforeLines="50" w:afterLines="50"/>
        <w:ind w:firstLine="420" w:firstLineChars="200"/>
        <w:jc w:val="left"/>
        <w:outlineLvl w:val="2"/>
        <w:rPr>
          <w:rFonts w:ascii="黑体" w:eastAsia="黑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惊蛰至春分</w:t>
      </w:r>
      <w:r>
        <w:rPr>
          <w:rFonts w:hint="eastAsia" w:ascii="黑体" w:eastAsia="黑体"/>
          <w:color w:val="000000"/>
          <w:kern w:val="0"/>
          <w:szCs w:val="21"/>
        </w:rPr>
        <w:t>。</w:t>
      </w:r>
    </w:p>
    <w:p>
      <w:pPr>
        <w:pStyle w:val="38"/>
        <w:spacing w:before="156" w:after="156"/>
        <w:rPr>
          <w:rFonts w:ascii="宋体" w:hAnsi="宋体"/>
          <w:color w:val="000000"/>
          <w:szCs w:val="24"/>
        </w:rPr>
      </w:pPr>
      <w:r>
        <w:rPr>
          <w:rFonts w:hint="eastAsia"/>
          <w:color w:val="000000"/>
        </w:rPr>
        <w:t>种植方法</w:t>
      </w:r>
    </w:p>
    <w:p>
      <w:pPr>
        <w:widowControl/>
        <w:spacing w:beforeLines="50" w:afterLines="50"/>
        <w:ind w:firstLine="420" w:firstLineChars="200"/>
        <w:jc w:val="left"/>
        <w:outlineLvl w:val="2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根系应均匀摆开，逐层加填细土、压实，使根群和土壤紧贴，种植深度为埋土至根茎部（苗木原埋土部位）为好。筑土墩高出畦面20 c</w:t>
      </w:r>
      <w:r>
        <w:rPr>
          <w:rFonts w:ascii="宋体" w:hAnsi="宋体"/>
          <w:color w:val="000000"/>
          <w:kern w:val="0"/>
          <w:szCs w:val="21"/>
        </w:rPr>
        <w:t>m</w:t>
      </w:r>
      <w:r>
        <w:rPr>
          <w:rFonts w:hint="eastAsia" w:ascii="宋体" w:hAnsi="宋体"/>
          <w:color w:val="000000"/>
          <w:kern w:val="0"/>
          <w:szCs w:val="21"/>
        </w:rPr>
        <w:t>，淋足定根水，盖草保湿，沿海风大果园，应支撑固定苗木。雨天防积水。</w:t>
      </w:r>
    </w:p>
    <w:p>
      <w:pPr>
        <w:pStyle w:val="41"/>
        <w:spacing w:before="312" w:after="312"/>
        <w:rPr>
          <w:color w:val="000000"/>
        </w:rPr>
      </w:pPr>
      <w:r>
        <w:rPr>
          <w:rFonts w:hint="eastAsia"/>
          <w:color w:val="000000"/>
        </w:rPr>
        <w:t>土肥水管理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土壤管理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仿宋_GB2312" w:hAnsi="华文仿宋"/>
          <w:color w:val="000000"/>
          <w:kern w:val="0"/>
        </w:rPr>
      </w:pPr>
      <w:r>
        <w:rPr>
          <w:rFonts w:hint="eastAsia" w:ascii="仿宋_GB2312" w:hAnsi="华文仿宋"/>
          <w:color w:val="000000"/>
          <w:kern w:val="0"/>
        </w:rPr>
        <w:t>山地果园挂果后结合基肥的施用逐年向外深翻扩穴。果园行间宜间种矮生的豆科作物。树冠下周围杂草应用人工或机械防除，行间杂草使用机械或化学除草剂防除。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施肥原则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化学肥料应与有机肥配合使用。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堆肥用的农家肥应经50 ℃以上发酵（5～7）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，充分腐熟后才可施用。污泥、垃圾肥应符合GB 4284的规定才可使用。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采果前30 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 xml:space="preserve">停止土施化肥，采前20 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停止叶面喷施氮素肥料。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增施中、微量元素，如Ca 、Mg 、B、Fe 等。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施肥方法和时间</w:t>
      </w:r>
    </w:p>
    <w:p>
      <w:pPr>
        <w:pStyle w:val="42"/>
        <w:spacing w:before="156" w:after="156"/>
      </w:pPr>
      <w:r>
        <w:rPr>
          <w:rFonts w:hint="eastAsia"/>
        </w:rPr>
        <w:t>幼龄树施肥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基肥：山地果园定植前（2～3）个月每定植穴施入绿肥25 kg，腐熟有机肥（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0～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0）kg，磷肥1 kg，石灰0.5 kg；水田果园种植墩挖穴，施腐熟有机肥（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 xml:space="preserve">0～20）kg，磷肥1 kg。拌匀，起100 </w:t>
      </w:r>
      <w:r>
        <w:rPr>
          <w:rFonts w:asciiTheme="minorEastAsia" w:hAnsiTheme="minorEastAsia" w:eastAsiaTheme="minorEastAsia"/>
        </w:rPr>
        <w:t>cm</w:t>
      </w:r>
      <w:r>
        <w:rPr>
          <w:rFonts w:hint="eastAsia" w:asciiTheme="minorEastAsia" w:hAnsiTheme="minorEastAsia" w:eastAsiaTheme="minorEastAsia"/>
        </w:rPr>
        <w:t>×</w:t>
      </w:r>
      <w:r>
        <w:rPr>
          <w:rFonts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cm</w:t>
      </w:r>
      <w:r>
        <w:rPr>
          <w:rFonts w:hint="eastAsia" w:asciiTheme="minorEastAsia" w:hAnsiTheme="minorEastAsia" w:eastAsiaTheme="minorEastAsia"/>
        </w:rPr>
        <w:t>的种植墩。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追肥：以勤施薄施为原则，一般每培养一次新梢施肥2次，于新梢萌芽及新梢基本停止生长时各施一次肥，以速效氮为主，每株施（2.5～5）kg稀薄腐熟的粪水或麸水加0.3 %尿素的液肥，或施尿素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 xml:space="preserve">5 </w:t>
      </w:r>
      <w:r>
        <w:rPr>
          <w:rFonts w:asciiTheme="minorEastAsia" w:hAnsiTheme="minorEastAsia" w:eastAsiaTheme="minorEastAsia"/>
        </w:rPr>
        <w:t>g</w:t>
      </w:r>
      <w:r>
        <w:rPr>
          <w:rFonts w:hint="eastAsia" w:asciiTheme="minorEastAsia" w:hAnsiTheme="minorEastAsia" w:eastAsiaTheme="minorEastAsia"/>
        </w:rPr>
        <w:t xml:space="preserve">加钾肥25 </w:t>
      </w:r>
      <w:r>
        <w:rPr>
          <w:rFonts w:asciiTheme="minorEastAsia" w:hAnsiTheme="minorEastAsia" w:eastAsiaTheme="minorEastAsia"/>
        </w:rPr>
        <w:t>g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42"/>
        <w:spacing w:before="156" w:after="156"/>
        <w:rPr>
          <w:color w:val="000000"/>
        </w:rPr>
      </w:pPr>
      <w:r>
        <w:rPr>
          <w:rFonts w:hint="eastAsia"/>
          <w:color w:val="000000"/>
        </w:rPr>
        <w:t>结果树施肥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促梢壮花肥：2月中旬至3月上旬，每株施氮：磷：钾=15：15：15复合肥0.75 kg，石灰粉1.5 kg。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保果肥：5月中旬每株施氮：磷：钾=15：15：15复合肥0.5 kg。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壮果肥：7月份每株施氮：磷：钾=15：15：15复合肥0.5 kg，硫酸钾0.4 kg。8</w:t>
      </w:r>
      <w:r>
        <w:rPr>
          <w:rFonts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份根据植株营养状况追施粪水肥，株施（25</w:t>
      </w:r>
      <w:r>
        <w:rPr>
          <w:rFonts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50）kg。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采果期肥：9月下旬每株施腐熟的禽畜粪肥，农家肥（5～10）kg或花生麸（1～2）kg。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过冬肥：11月中下旬每株施</w:t>
      </w:r>
      <w:r>
        <w:rPr>
          <w:rFonts w:asciiTheme="minorEastAsia" w:hAnsiTheme="minorEastAsia" w:eastAsiaTheme="minorEastAsia"/>
        </w:rPr>
        <w:t>腐熟厩肥</w:t>
      </w:r>
      <w:r>
        <w:rPr>
          <w:rFonts w:hint="eastAsia" w:asciiTheme="minorEastAsia" w:hAnsiTheme="minorEastAsia" w:eastAsiaTheme="minorEastAsia"/>
        </w:rPr>
        <w:t>10 kg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豆饼1 kg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三元复合肥0.25 kg、火烧土15 kg。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根外追肥：在新梢转绿期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花蕾期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幼果发育期，各喷（2～3）次叶面肥，每次间隔（7～10）</w:t>
      </w:r>
      <w:r>
        <w:rPr>
          <w:rFonts w:asciiTheme="minorEastAsia" w:hAnsiTheme="minorEastAsia" w:eastAsiaTheme="minorEastAsia"/>
        </w:rPr>
        <w:t>d</w:t>
      </w:r>
      <w:r>
        <w:rPr>
          <w:rFonts w:hint="eastAsia" w:asciiTheme="minorEastAsia" w:hAnsiTheme="minorEastAsia" w:eastAsiaTheme="minorEastAsia"/>
        </w:rPr>
        <w:t>。</w:t>
      </w:r>
    </w:p>
    <w:p>
      <w:pPr>
        <w:spacing w:beforeLines="50" w:afterLines="50"/>
        <w:rPr>
          <w:rFonts w:ascii="黑体" w:eastAsia="黑体"/>
        </w:rPr>
      </w:pPr>
      <w:r>
        <w:rPr>
          <w:rFonts w:hint="eastAsia" w:ascii="黑体" w:eastAsia="黑体"/>
        </w:rPr>
        <w:t>5.4  水分管理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仿宋_GB2312" w:hAnsi="华文仿宋"/>
          <w:color w:val="000000"/>
          <w:kern w:val="0"/>
        </w:rPr>
      </w:pPr>
      <w:r>
        <w:rPr>
          <w:rFonts w:hint="eastAsia" w:ascii="仿宋_GB2312" w:hAnsi="华文仿宋"/>
          <w:color w:val="000000"/>
          <w:kern w:val="0"/>
        </w:rPr>
        <w:t>花果期需水量较多，应保持土壤湿润；灌溉要速灌速排、防止渍水，久旱天气淋水或灌水应均匀，切忌暴晒骤灌，避免导致裂果或落果。冬季要适当控水。</w:t>
      </w:r>
    </w:p>
    <w:p>
      <w:pPr>
        <w:pStyle w:val="41"/>
        <w:spacing w:before="312" w:after="312"/>
      </w:pPr>
      <w:r>
        <w:rPr>
          <w:rFonts w:hint="eastAsia"/>
        </w:rPr>
        <w:t>整形修剪</w:t>
      </w:r>
    </w:p>
    <w:p>
      <w:pPr>
        <w:pStyle w:val="38"/>
        <w:spacing w:before="156" w:after="156"/>
      </w:pPr>
      <w:r>
        <w:rPr>
          <w:rFonts w:hint="eastAsia"/>
        </w:rPr>
        <w:t>幼龄树的整形</w:t>
      </w:r>
    </w:p>
    <w:p>
      <w:pPr>
        <w:spacing w:beforeLines="50" w:afterLines="50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幼龄树以整形为主，主要采用摘心、摘叶的方法，培养枝条分布均匀的伞形树冠。树冠整形的要求和做法是：在主干高（</w:t>
      </w:r>
      <w:r>
        <w:rPr>
          <w:rFonts w:hint="eastAsia" w:ascii="宋体" w:hAnsi="宋体"/>
          <w:color w:val="000000"/>
          <w:kern w:val="0"/>
          <w:szCs w:val="20"/>
        </w:rPr>
        <w:t>40～50）cm</w:t>
      </w:r>
      <w:r>
        <w:rPr>
          <w:rFonts w:hint="eastAsia" w:ascii="宋体" w:hAnsi="宋体"/>
          <w:color w:val="000000"/>
        </w:rPr>
        <w:t>处剪顶，并摘除主干上部（</w:t>
      </w:r>
      <w:r>
        <w:rPr>
          <w:rFonts w:hint="eastAsia" w:ascii="宋体" w:hAnsi="宋体"/>
          <w:color w:val="000000"/>
          <w:kern w:val="0"/>
          <w:szCs w:val="20"/>
        </w:rPr>
        <w:t>3～4）</w:t>
      </w:r>
      <w:r>
        <w:rPr>
          <w:rFonts w:hint="eastAsia" w:ascii="宋体" w:hAnsi="宋体"/>
          <w:color w:val="000000"/>
        </w:rPr>
        <w:t>片叶，促留主枝（</w:t>
      </w:r>
      <w:r>
        <w:rPr>
          <w:rFonts w:hint="eastAsia" w:ascii="宋体" w:hAnsi="宋体"/>
          <w:color w:val="000000"/>
          <w:kern w:val="0"/>
          <w:szCs w:val="20"/>
        </w:rPr>
        <w:t>3～4）</w:t>
      </w:r>
      <w:r>
        <w:rPr>
          <w:rFonts w:hint="eastAsia" w:ascii="宋体" w:hAnsi="宋体"/>
          <w:color w:val="000000"/>
        </w:rPr>
        <w:t>条。主枝长至</w:t>
      </w:r>
      <w:r>
        <w:rPr>
          <w:rFonts w:hint="eastAsia" w:ascii="宋体" w:hAnsi="宋体"/>
          <w:color w:val="000000"/>
          <w:kern w:val="0"/>
          <w:szCs w:val="20"/>
        </w:rPr>
        <w:t>60 cm</w:t>
      </w:r>
      <w:r>
        <w:rPr>
          <w:rFonts w:hint="eastAsia" w:ascii="宋体" w:hAnsi="宋体"/>
          <w:color w:val="000000"/>
        </w:rPr>
        <w:t>时摘心，待其叶片转绿老熟，再于每条主枝的中上部摘去</w:t>
      </w:r>
      <w:r>
        <w:rPr>
          <w:rFonts w:hint="eastAsia" w:ascii="宋体" w:hAnsi="宋体"/>
          <w:color w:val="000000"/>
          <w:kern w:val="0"/>
          <w:szCs w:val="20"/>
        </w:rPr>
        <w:t>2</w:t>
      </w:r>
      <w:r>
        <w:rPr>
          <w:rFonts w:hint="eastAsia" w:ascii="宋体" w:hAnsi="宋体"/>
          <w:color w:val="000000"/>
        </w:rPr>
        <w:t>片叶，促留</w:t>
      </w:r>
      <w:r>
        <w:rPr>
          <w:rFonts w:hint="eastAsia" w:ascii="宋体" w:hAnsi="宋体"/>
          <w:color w:val="000000"/>
          <w:kern w:val="0"/>
          <w:szCs w:val="20"/>
        </w:rPr>
        <w:t>2</w:t>
      </w:r>
      <w:r>
        <w:rPr>
          <w:rFonts w:hint="eastAsia" w:ascii="宋体" w:hAnsi="宋体"/>
          <w:color w:val="000000"/>
        </w:rPr>
        <w:t>级分枝各</w:t>
      </w:r>
      <w:r>
        <w:rPr>
          <w:rFonts w:hint="eastAsia" w:ascii="宋体" w:hAnsi="宋体"/>
          <w:color w:val="000000"/>
          <w:kern w:val="0"/>
          <w:szCs w:val="20"/>
        </w:rPr>
        <w:t>3</w:t>
      </w:r>
      <w:r>
        <w:rPr>
          <w:rFonts w:hint="eastAsia" w:ascii="宋体" w:hAnsi="宋体"/>
          <w:color w:val="000000"/>
        </w:rPr>
        <w:t>条。二级分枝长至（</w:t>
      </w:r>
      <w:r>
        <w:rPr>
          <w:rFonts w:hint="eastAsia" w:ascii="宋体" w:hAnsi="宋体"/>
          <w:color w:val="000000"/>
          <w:kern w:val="0"/>
          <w:szCs w:val="20"/>
        </w:rPr>
        <w:t>30～40）cm</w:t>
      </w:r>
      <w:r>
        <w:rPr>
          <w:rFonts w:hint="eastAsia" w:ascii="宋体" w:hAnsi="宋体"/>
          <w:color w:val="000000"/>
        </w:rPr>
        <w:t>时摘心，待枝梢叶片老熟后再摘除叶片，促留三级分枝，依次培养下一级分枝，直至伞形树冠形成。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结果树修剪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冬剪复壮树势，促发壮梢。冬季实施重剪，去弱留强。剪除枯枝，病虫害枝，下垂枝，回缩短截株间交叉枝，疏删树冠顶部弱枝</w:t>
      </w:r>
      <w:r>
        <w:rPr>
          <w:rFonts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俗称开天窗</w:t>
      </w:r>
      <w:r>
        <w:rPr>
          <w:rFonts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 xml:space="preserve"> ，剪口粗度</w:t>
      </w:r>
      <w:r>
        <w:rPr>
          <w:rFonts w:asciiTheme="minorEastAsia" w:hAnsiTheme="minorEastAsia" w:eastAsiaTheme="minorEastAsia"/>
          <w:color w:val="FF0000"/>
        </w:rPr>
        <w:t>Φ</w:t>
      </w: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cm</w:t>
      </w:r>
      <w:r>
        <w:rPr>
          <w:rFonts w:hint="eastAsia" w:asciiTheme="minorEastAsia" w:hAnsiTheme="minorEastAsia" w:eastAsiaTheme="minorEastAsia"/>
        </w:rPr>
        <w:t>左右。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春剪促开“夏至花”，多结“中秋果”。在惊蛰至春分（3月上旬至中旬）期间，当番荔枝即将萌芽时，在树冠中上部和四周定位短截部分枝梢，剪口粗度0.7 cm左右；在芒种(6月上旬)前后对果量偏少，挂果不匀的树进行补剪促花，选长（30～35）cm较老熟充实的无果枝梢进行短截，保留基椿5 cm左右，摘除叶片（1～2）片。</w:t>
      </w:r>
    </w:p>
    <w:p>
      <w:pPr>
        <w:pStyle w:val="41"/>
        <w:spacing w:before="312" w:after="312"/>
        <w:rPr>
          <w:color w:val="000000"/>
        </w:rPr>
      </w:pPr>
      <w:r>
        <w:rPr>
          <w:rFonts w:hint="eastAsia"/>
          <w:color w:val="000000"/>
        </w:rPr>
        <w:t>花果管理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人工授粉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 w:hAnsi="宋体"/>
          <w:color w:val="000000"/>
          <w:kern w:val="0"/>
          <w:szCs w:val="20"/>
        </w:rPr>
      </w:pPr>
      <w:r>
        <w:rPr>
          <w:rFonts w:hint="eastAsia" w:ascii="宋体" w:hAnsi="宋体"/>
          <w:color w:val="000000"/>
          <w:kern w:val="0"/>
        </w:rPr>
        <w:t>番荔枝的花具雌雄异熟现象，相差约</w:t>
      </w:r>
      <w:r>
        <w:rPr>
          <w:rFonts w:hint="eastAsia" w:ascii="宋体" w:hAnsi="宋体"/>
          <w:color w:val="000000"/>
          <w:kern w:val="0"/>
          <w:szCs w:val="20"/>
        </w:rPr>
        <w:t>24 h</w:t>
      </w:r>
      <w:r>
        <w:rPr>
          <w:rFonts w:hint="eastAsia" w:ascii="宋体" w:hAnsi="宋体"/>
          <w:color w:val="000000"/>
          <w:kern w:val="0"/>
        </w:rPr>
        <w:t>。人工授粉最佳时间在早上（</w:t>
      </w:r>
      <w:r>
        <w:rPr>
          <w:rFonts w:hint="eastAsia" w:ascii="宋体" w:hAnsi="宋体"/>
          <w:color w:val="000000"/>
          <w:kern w:val="0"/>
          <w:szCs w:val="20"/>
        </w:rPr>
        <w:t>6～8）</w:t>
      </w:r>
      <w:r>
        <w:rPr>
          <w:rFonts w:ascii="宋体" w:hAnsi="宋体"/>
          <w:color w:val="000000"/>
          <w:kern w:val="0"/>
        </w:rPr>
        <w:t>h</w:t>
      </w:r>
      <w:r>
        <w:rPr>
          <w:rFonts w:hint="eastAsia" w:ascii="宋体" w:hAnsi="宋体"/>
          <w:color w:val="000000"/>
          <w:kern w:val="0"/>
        </w:rPr>
        <w:t>，从其它盛开的花朵中取下花粉，用软毛笔将花粉授予花瓣处于半张开状态花朵的柱头上。注意调节着果位置和着果的时间、数量。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疏果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color w:val="000000"/>
          <w:kern w:val="0"/>
          <w:szCs w:val="20"/>
        </w:rPr>
      </w:pPr>
      <w:r>
        <w:rPr>
          <w:rFonts w:hint="eastAsia" w:ascii="仿宋_GB2312" w:hAnsi="华文仿宋"/>
          <w:color w:val="000000"/>
          <w:kern w:val="0"/>
        </w:rPr>
        <w:t>在幼果形成后至果径</w:t>
      </w:r>
      <w:r>
        <w:rPr>
          <w:rFonts w:hint="eastAsia" w:asciiTheme="minorEastAsia" w:hAnsiTheme="minorEastAsia" w:eastAsiaTheme="minorEastAsia"/>
          <w:color w:val="000000"/>
          <w:kern w:val="0"/>
        </w:rPr>
        <w:t>3 cm</w:t>
      </w:r>
      <w:r>
        <w:rPr>
          <w:rFonts w:hint="eastAsia" w:ascii="仿宋_GB2312" w:hAnsi="华文仿宋"/>
          <w:color w:val="000000"/>
          <w:kern w:val="0"/>
        </w:rPr>
        <w:t>时进行。疏去畸形果、次果，一般每条结果母枝宜留果1个。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 xml:space="preserve">产期调节 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通过修剪或摘心、摘叶、人工授粉及疏果等措施，调节开花结果的时间及数量，以调节果实的采收上市期。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夏季果：在2月至3月下旬进行修剪，修剪强度较强，可促使植株萌发较多的侧枝并萌花，生产夏季果。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冬季果：（7～9）月，主要对树冠内部和下半部的主干、主枝、次主枝等永久枝上的侧枝，或在春梢选择生长充实者短截为（6～10）cm，使含二至三个芽，并摘去短截侧枝上的叶片，配合灌溉，修剪后约（10～20）d萌芽、陆续开花结果，生产冬季果。为分散及延长冬季果产期，修剪可分多次进行。</w:t>
      </w:r>
    </w:p>
    <w:p>
      <w:pPr>
        <w:pStyle w:val="41"/>
        <w:spacing w:before="312" w:after="312"/>
        <w:rPr>
          <w:color w:val="000000"/>
        </w:rPr>
      </w:pPr>
      <w:r>
        <w:rPr>
          <w:rFonts w:hint="eastAsia"/>
          <w:color w:val="000000"/>
        </w:rPr>
        <w:t>病虫害防治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病虫害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主要病害有：炭疽病、叶疫病、根腐病、蒂腐病、酸腐病、软腐病、叶点霉叶斑病、假尾孢叶斑病等。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主要害虫有：红蜘蛛、粉介壳虫、蓟马、粉虱、斑螟蛾、桔小实蝇、木蠹蛾、天牛、铜绿金龟子等。</w:t>
      </w:r>
    </w:p>
    <w:p>
      <w:pPr>
        <w:pStyle w:val="38"/>
        <w:spacing w:before="156" w:after="156"/>
      </w:pPr>
      <w:r>
        <w:rPr>
          <w:rFonts w:hint="eastAsia"/>
        </w:rPr>
        <w:t>防治方法</w:t>
      </w:r>
    </w:p>
    <w:p>
      <w:pPr>
        <w:pStyle w:val="42"/>
        <w:spacing w:before="156" w:after="156"/>
      </w:pPr>
      <w:r>
        <w:rPr>
          <w:rFonts w:hint="eastAsia"/>
        </w:rPr>
        <w:t>农业防治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加强果园管理，搞好果园排灌系统，防止果园积水，降低田间湿度，保持通风透光。通过不同时期修剪，去除交叉枝、病虫枝叶果，并集中烧毁。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冬季清园，把枯枝、病虫枝叶果等集中烧毁，减少传染源。</w:t>
      </w:r>
    </w:p>
    <w:p>
      <w:pPr>
        <w:pStyle w:val="42"/>
        <w:spacing w:before="156" w:after="156"/>
        <w:rPr>
          <w:rFonts w:hAnsi="宋体"/>
          <w:color w:val="000000"/>
        </w:rPr>
      </w:pPr>
      <w:r>
        <w:rPr>
          <w:rFonts w:hint="eastAsia" w:hAnsi="宋体"/>
          <w:color w:val="000000"/>
        </w:rPr>
        <w:t>物理机械防治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采用人工或工具捕杀金龟子等害虫。利用性诱剂诱杀。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果实套袋。用专用的纸袋较好，为方便用辩别果实的成熟先后，可在各次的套袋上做标记；采用泡沫网套加塑膜袋套果，则果色较绿，但果实增大较快且减少裂果。在果实直径（3</w:t>
      </w:r>
      <w:r>
        <w:rPr>
          <w:rFonts w:hint="eastAsia" w:ascii="宋体" w:hAnsi="宋体"/>
          <w:color w:val="000000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4）cm时进行套袋，套袋前对幼果喷施防治病虫药剂。</w:t>
      </w:r>
    </w:p>
    <w:p>
      <w:pPr>
        <w:pStyle w:val="42"/>
        <w:spacing w:before="156" w:after="156"/>
        <w:rPr>
          <w:color w:val="000000"/>
        </w:rPr>
      </w:pPr>
      <w:r>
        <w:rPr>
          <w:rFonts w:hint="eastAsia"/>
          <w:color w:val="000000"/>
        </w:rPr>
        <w:t>生物防治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仿宋_GB2312" w:hAnsi="华文仿宋"/>
          <w:color w:val="000000"/>
          <w:kern w:val="0"/>
        </w:rPr>
      </w:pPr>
      <w:r>
        <w:rPr>
          <w:rFonts w:hint="eastAsia" w:ascii="仿宋_GB2312" w:hAnsi="华文仿宋"/>
          <w:color w:val="000000"/>
          <w:kern w:val="0"/>
        </w:rPr>
        <w:t>果园周围和行间种植蜜源植物，以创造有利于天敌繁衍的生态环境，尽可能利用机械或人工除草，既防治杂草又保护天敌。放养主要害虫天敌，如捕食螨。利用性诱剂诱杀。使用生物农药，生化制剂和昆虫生长调节剂等。</w:t>
      </w:r>
    </w:p>
    <w:p>
      <w:pPr>
        <w:pStyle w:val="42"/>
        <w:spacing w:before="156" w:after="156"/>
        <w:rPr>
          <w:color w:val="000000"/>
        </w:rPr>
      </w:pPr>
      <w:r>
        <w:rPr>
          <w:rFonts w:hint="eastAsia"/>
          <w:color w:val="000000"/>
        </w:rPr>
        <w:t>药剂防治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50" w:afterLines="50"/>
        <w:ind w:firstLine="420" w:firstLineChars="200"/>
        <w:rPr>
          <w:rFonts w:ascii="宋体"/>
          <w:color w:val="000000"/>
          <w:kern w:val="0"/>
          <w:szCs w:val="20"/>
        </w:rPr>
      </w:pPr>
      <w:r>
        <w:rPr>
          <w:rFonts w:hint="eastAsia" w:ascii="宋体"/>
          <w:color w:val="000000"/>
          <w:kern w:val="0"/>
          <w:szCs w:val="20"/>
        </w:rPr>
        <w:t>农药使用按</w:t>
      </w:r>
      <w:r>
        <w:rPr>
          <w:rFonts w:hint="eastAsia" w:ascii="宋体"/>
          <w:color w:val="000000"/>
          <w:kern w:val="0"/>
          <w:szCs w:val="20"/>
          <w:lang w:val="en-US" w:eastAsia="zh-CN"/>
        </w:rPr>
        <w:t>NY</w:t>
      </w:r>
      <w:r>
        <w:rPr>
          <w:rFonts w:ascii="宋体"/>
          <w:color w:val="000000"/>
          <w:kern w:val="0"/>
          <w:szCs w:val="20"/>
        </w:rPr>
        <w:t>/T</w:t>
      </w:r>
      <w:r>
        <w:rPr>
          <w:rFonts w:hint="eastAsia" w:ascii="宋体"/>
          <w:color w:val="auto"/>
          <w:kern w:val="0"/>
          <w:szCs w:val="20"/>
        </w:rPr>
        <w:t xml:space="preserve"> </w:t>
      </w:r>
      <w:r>
        <w:rPr>
          <w:rFonts w:hint="eastAsia" w:ascii="宋体"/>
          <w:color w:val="auto"/>
          <w:kern w:val="0"/>
          <w:szCs w:val="20"/>
          <w:lang w:val="en-US" w:eastAsia="zh-CN"/>
        </w:rPr>
        <w:t>1276</w:t>
      </w:r>
      <w:r>
        <w:rPr>
          <w:rFonts w:hint="eastAsia" w:ascii="宋体"/>
          <w:color w:val="000000"/>
          <w:kern w:val="0"/>
          <w:szCs w:val="20"/>
        </w:rPr>
        <w:t>和</w:t>
      </w:r>
      <w:r>
        <w:rPr>
          <w:rFonts w:ascii="宋体"/>
          <w:color w:val="000000"/>
          <w:kern w:val="0"/>
          <w:szCs w:val="20"/>
        </w:rPr>
        <w:t>GB/T</w:t>
      </w:r>
      <w:r>
        <w:rPr>
          <w:rFonts w:hint="eastAsia" w:ascii="宋体"/>
          <w:color w:val="000000"/>
          <w:kern w:val="0"/>
          <w:szCs w:val="20"/>
        </w:rPr>
        <w:t xml:space="preserve"> </w:t>
      </w:r>
      <w:r>
        <w:rPr>
          <w:rFonts w:ascii="宋体"/>
          <w:color w:val="000000"/>
          <w:kern w:val="0"/>
          <w:szCs w:val="20"/>
        </w:rPr>
        <w:t>8321</w:t>
      </w:r>
      <w:r>
        <w:rPr>
          <w:rFonts w:hint="eastAsia" w:ascii="宋体"/>
          <w:color w:val="000000"/>
          <w:kern w:val="0"/>
          <w:szCs w:val="20"/>
        </w:rPr>
        <w:t>的规定执行。</w:t>
      </w:r>
    </w:p>
    <w:p>
      <w:pPr>
        <w:pStyle w:val="38"/>
        <w:spacing w:before="156" w:after="156"/>
        <w:rPr>
          <w:color w:val="000000"/>
        </w:rPr>
      </w:pPr>
      <w:r>
        <w:rPr>
          <w:rFonts w:hint="eastAsia"/>
          <w:color w:val="000000"/>
        </w:rPr>
        <w:t>防治措施</w:t>
      </w:r>
    </w:p>
    <w:p>
      <w:pPr>
        <w:pStyle w:val="42"/>
        <w:spacing w:before="156" w:after="156"/>
        <w:rPr>
          <w:color w:val="000000"/>
        </w:rPr>
      </w:pPr>
      <w:r>
        <w:rPr>
          <w:rFonts w:hint="eastAsia"/>
          <w:color w:val="000000"/>
        </w:rPr>
        <w:t>主要病害防治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炭疽病：主要造成落叶、黑果、烂果。在新梢抽发和谢花座果期，喷药（1～2）次，50 %多菌灵可湿性粉剂500倍液或70 %托布津可湿性粉剂（800～1000）倍液。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根腐病：积水、伤根、高温高湿、施用未腐熟的垃圾杂肥易引发该病，施用发酵腐熟的豆麸、禽畜粪等有机肥，有利抑制病害的发生。以防为主，及时挖除病株烧毁，迹地撒施10:1的石灰、硫磺粉，每株迹地施0.5 </w:t>
      </w:r>
      <w:r>
        <w:rPr>
          <w:rFonts w:asciiTheme="minorEastAsia" w:hAnsiTheme="minorEastAsia" w:eastAsiaTheme="minorEastAsia"/>
        </w:rPr>
        <w:t>K</w:t>
      </w:r>
      <w:r>
        <w:rPr>
          <w:rFonts w:hint="eastAsia" w:asciiTheme="minorEastAsia" w:hAnsiTheme="minorEastAsia" w:eastAsiaTheme="minorEastAsia"/>
        </w:rPr>
        <w:t>g。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蒂腐病：主要引起死苗，枯梢、烂果。药剂防治：新梢萌发后或谢花座果期，喷药（1～2）次（可结合炭疽病防治），50 %多菌灵可湿性粉剂500倍液或0.5 %波尔多液。</w:t>
      </w:r>
    </w:p>
    <w:p>
      <w:pPr>
        <w:pStyle w:val="42"/>
        <w:spacing w:before="156" w:after="156"/>
        <w:rPr>
          <w:color w:val="000000"/>
        </w:rPr>
      </w:pPr>
      <w:r>
        <w:rPr>
          <w:rFonts w:hint="eastAsia"/>
          <w:color w:val="000000"/>
        </w:rPr>
        <w:t>主要虫害防治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红蜘蛛：查虫适时喷药，查不到捕食螨，红蜘蛛密度每叶2只以上，并趋发展上升时，全面喷药；可用1.8 %阿维菌素乳油2000倍液、15 %哒螨灵（1500～2000）倍液或24 %螺螨酯悬浮剂（3000～5000）倍液防治。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介壳虫：在春秋两季新梢期和幼果期，可用</w:t>
      </w:r>
      <w:r>
        <w:rPr>
          <w:rFonts w:asciiTheme="minorEastAsia" w:hAnsiTheme="minorEastAsia" w:eastAsiaTheme="minorEastAsia"/>
        </w:rPr>
        <w:t>2.5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%</w:t>
      </w:r>
      <w:r>
        <w:fldChar w:fldCharType="begin"/>
      </w:r>
      <w:r>
        <w:instrText xml:space="preserve"> HYPERLINK "http://baike.baidu.com/view/314359.htm" \t "_blank" </w:instrText>
      </w:r>
      <w:r>
        <w:fldChar w:fldCharType="separate"/>
      </w:r>
      <w:r>
        <w:rPr>
          <w:rFonts w:asciiTheme="minorEastAsia" w:hAnsiTheme="minorEastAsia" w:eastAsiaTheme="minorEastAsia"/>
        </w:rPr>
        <w:t>溴氰菊酯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asciiTheme="minorEastAsia" w:hAnsiTheme="minorEastAsia" w:eastAsiaTheme="minorEastAsia"/>
        </w:rPr>
        <w:t>3000倍液</w:t>
      </w:r>
      <w:r>
        <w:rPr>
          <w:rFonts w:hint="eastAsia" w:asciiTheme="minorEastAsia" w:hAnsiTheme="minorEastAsia" w:eastAsiaTheme="minorEastAsia"/>
        </w:rPr>
        <w:t>防治。</w:t>
      </w:r>
    </w:p>
    <w:p>
      <w:pPr>
        <w:pStyle w:val="41"/>
        <w:spacing w:before="312" w:after="312"/>
      </w:pPr>
      <w:r>
        <w:rPr>
          <w:rFonts w:hint="eastAsia"/>
        </w:rPr>
        <w:t>采收</w:t>
      </w:r>
    </w:p>
    <w:p>
      <w:pPr>
        <w:widowControl/>
        <w:spacing w:beforeLines="50" w:afterLines="50"/>
        <w:ind w:firstLine="420" w:firstLineChars="200"/>
        <w:jc w:val="left"/>
        <w:outlineLvl w:val="2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果实基本停止增大，果皮由绿色转为浅绿色或淡绿带黄色，鳞目呈粉白色为熟征，需远运的提前（</w:t>
      </w: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</w:rPr>
        <w:t>～</w:t>
      </w:r>
      <w:r>
        <w:rPr>
          <w:rFonts w:ascii="宋体" w:hAnsi="宋体"/>
          <w:color w:val="000000"/>
          <w:kern w:val="0"/>
          <w:szCs w:val="21"/>
        </w:rPr>
        <w:t>3</w:t>
      </w:r>
      <w:r>
        <w:rPr>
          <w:rFonts w:hint="eastAsia" w:ascii="宋体" w:hAnsi="宋体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d</w:t>
      </w:r>
      <w:r>
        <w:rPr>
          <w:rFonts w:hint="eastAsia" w:ascii="宋体" w:hAnsi="宋体"/>
          <w:color w:val="000000"/>
          <w:kern w:val="0"/>
          <w:szCs w:val="21"/>
        </w:rPr>
        <w:t>采收。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9200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>DB 4405</w:t>
    </w:r>
    <w:bookmarkStart w:id="12" w:name="_GoBack"/>
    <w:bookmarkEnd w:id="12"/>
    <w:r>
      <w:t xml:space="preserve">/T </w:t>
    </w:r>
    <w:r>
      <w:rPr>
        <w:rFonts w:hint="eastAsia"/>
      </w:rPr>
      <w:t>34</w:t>
    </w:r>
    <w:r>
      <w:t>—2019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34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17A4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2F1C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35B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1F5F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D41C8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3C0A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0D9F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04B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5FC4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2B37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6D36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53EB"/>
    <w:rsid w:val="00B375C8"/>
    <w:rsid w:val="00B4016F"/>
    <w:rsid w:val="00B407AC"/>
    <w:rsid w:val="00B439C4"/>
    <w:rsid w:val="00B4450C"/>
    <w:rsid w:val="00B4535E"/>
    <w:rsid w:val="00B5222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49D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7CD8"/>
    <w:rsid w:val="00D213B2"/>
    <w:rsid w:val="00D2527C"/>
    <w:rsid w:val="00D313B3"/>
    <w:rsid w:val="00D318F2"/>
    <w:rsid w:val="00D3421D"/>
    <w:rsid w:val="00D355BE"/>
    <w:rsid w:val="00D35B8E"/>
    <w:rsid w:val="00D40F07"/>
    <w:rsid w:val="00D429C6"/>
    <w:rsid w:val="00D42EFB"/>
    <w:rsid w:val="00D4604D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1B55"/>
    <w:rsid w:val="00E221D3"/>
    <w:rsid w:val="00E224DC"/>
    <w:rsid w:val="00E228C8"/>
    <w:rsid w:val="00E240FF"/>
    <w:rsid w:val="00E24EB4"/>
    <w:rsid w:val="00E25E4C"/>
    <w:rsid w:val="00E27317"/>
    <w:rsid w:val="00E300AE"/>
    <w:rsid w:val="00E30635"/>
    <w:rsid w:val="00E320ED"/>
    <w:rsid w:val="00E33AFB"/>
    <w:rsid w:val="00E34218"/>
    <w:rsid w:val="00E37115"/>
    <w:rsid w:val="00E43D9B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43B15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0D15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BF16578"/>
    <w:rsid w:val="0D801033"/>
    <w:rsid w:val="0E3B666F"/>
    <w:rsid w:val="162E5F03"/>
    <w:rsid w:val="23797494"/>
    <w:rsid w:val="2BE57AF1"/>
    <w:rsid w:val="30E7574C"/>
    <w:rsid w:val="541F7261"/>
    <w:rsid w:val="76611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70043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BBB"/>
    <w:rsid w:val="00595E09"/>
    <w:rsid w:val="005C52B2"/>
    <w:rsid w:val="00674FBA"/>
    <w:rsid w:val="006B05D6"/>
    <w:rsid w:val="006D02E4"/>
    <w:rsid w:val="006F7DE8"/>
    <w:rsid w:val="007216E9"/>
    <w:rsid w:val="007C6ACB"/>
    <w:rsid w:val="007E2797"/>
    <w:rsid w:val="00800293"/>
    <w:rsid w:val="00820E7E"/>
    <w:rsid w:val="00845F8C"/>
    <w:rsid w:val="00855C4F"/>
    <w:rsid w:val="008E024D"/>
    <w:rsid w:val="008F0268"/>
    <w:rsid w:val="00902EF8"/>
    <w:rsid w:val="00982DAC"/>
    <w:rsid w:val="009B16B1"/>
    <w:rsid w:val="009C743F"/>
    <w:rsid w:val="00A931AF"/>
    <w:rsid w:val="00A94E45"/>
    <w:rsid w:val="00AD6808"/>
    <w:rsid w:val="00B07792"/>
    <w:rsid w:val="00B22E5E"/>
    <w:rsid w:val="00B717AC"/>
    <w:rsid w:val="00BA2824"/>
    <w:rsid w:val="00BC67AA"/>
    <w:rsid w:val="00C875D2"/>
    <w:rsid w:val="00CA07D4"/>
    <w:rsid w:val="00CB0B2B"/>
    <w:rsid w:val="00D4454B"/>
    <w:rsid w:val="00D65DD7"/>
    <w:rsid w:val="00DA4409"/>
    <w:rsid w:val="00E857F8"/>
    <w:rsid w:val="00E95A08"/>
    <w:rsid w:val="00EA15BD"/>
    <w:rsid w:val="00EA32AC"/>
    <w:rsid w:val="00F322FE"/>
    <w:rsid w:val="00F93653"/>
    <w:rsid w:val="00FC3502"/>
    <w:rsid w:val="00FD4F85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9</Pages>
  <Words>3495</Words>
  <Characters>806</Characters>
  <Lines>6</Lines>
  <Paragraphs>8</Paragraphs>
  <TotalTime>1</TotalTime>
  <ScaleCrop>false</ScaleCrop>
  <LinksUpToDate>false</LinksUpToDate>
  <CharactersWithSpaces>4293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2019-02-18T01:14:00Z</dcterms:created>
  <dc:creator>CNIS</dc:creator>
  <cp:lastModifiedBy>Administrator</cp:lastModifiedBy>
  <cp:lastPrinted>2019-03-20T01:54:00Z</cp:lastPrinted>
  <dcterms:modified xsi:type="dcterms:W3CDTF">2019-05-14T08:54:53Z</dcterms:modified>
  <dc:title>标准名称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