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15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65.150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p>
      <w:pPr>
        <w:pStyle w:val="119"/>
      </w:pPr>
      <w:bookmarkStart w:id="1" w:name="WXFLH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B 51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B 51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1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215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  <w:r>
              <w:rPr>
                <w:rFonts w:hint="eastAsia"/>
              </w:rPr>
              <w:t>代替 DB 440500/T 215-2012</w:t>
            </w: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bookmarkStart w:id="7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海水池塘斑节对虾生态混养技术规范</w:t>
      </w:r>
    </w:p>
    <w:p>
      <w:pPr>
        <w:framePr w:w="9639" w:h="6917" w:hRule="exact" w:wrap="around" w:vAnchor="page" w:hAnchor="page" w:xAlign="center" w:y="6408" w:anchorLock="1"/>
        <w:ind w:firstLine="105" w:firstLineChars="50"/>
        <w:jc w:val="center"/>
        <w:rPr>
          <w:rFonts w:ascii="黑体" w:hAnsi="黑体" w:eastAsia="黑体" w:cs="黑体"/>
          <w:color w:val="000000"/>
          <w:kern w:val="0"/>
          <w:sz w:val="52"/>
          <w:szCs w:val="52"/>
        </w:rPr>
      </w:pPr>
      <w:r>
        <w:fldChar w:fldCharType="end"/>
      </w:r>
      <w:bookmarkEnd w:id="7"/>
    </w:p>
    <w:p>
      <w:pPr>
        <w:pStyle w:val="74"/>
      </w:pP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8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9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10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10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1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本标准按GB/T1.1-2009《标准化工作导则第1部分：标准的结构和编写》进行修订。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本标准与DB 440500/T 215-2012相比，除编辑性修改外主要技术变化如下：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修改了“规范性引用文件”的内容（见2 NY 5052）；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修改了“养殖管理”的内容（见6.1.2.1/6.1.2.2、6.2.1、）；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beforeLines="2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Theme="minorEastAsia" w:hAnsiTheme="minorEastAsia" w:eastAsiaTheme="minorEastAsia"/>
          <w:kern w:val="0"/>
          <w:szCs w:val="20"/>
        </w:rPr>
        <w:t>修</w:t>
      </w:r>
      <w:r>
        <w:rPr>
          <w:rFonts w:hint="eastAsia" w:ascii="宋体"/>
          <w:kern w:val="0"/>
          <w:szCs w:val="20"/>
        </w:rPr>
        <w:t xml:space="preserve">改了“病害防治”的内容（见7.2）；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本标准由</w:t>
      </w:r>
      <w:r>
        <w:rPr>
          <w:rFonts w:hint="eastAsia" w:ascii="宋体"/>
          <w:kern w:val="0"/>
          <w:szCs w:val="20"/>
          <w:lang w:eastAsia="zh-CN"/>
        </w:rPr>
        <w:t>原</w:t>
      </w:r>
      <w:r>
        <w:rPr>
          <w:rFonts w:hint="eastAsia" w:ascii="宋体"/>
          <w:kern w:val="0"/>
          <w:szCs w:val="20"/>
        </w:rPr>
        <w:t>汕头市海洋与渔业局提出。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本标准起草单位：汕头市水产技术推广中心站、汕头市华勋水产有限公司、汕头市大发水产养殖有限公司、汕头市金泽元水产养殖专业合作社。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本标准主要起草人：赖向生、林壮炳、</w:t>
      </w:r>
      <w:r>
        <w:rPr>
          <w:rFonts w:hint="eastAsia" w:ascii="宋体" w:hAnsi="宋体" w:cs="宋体"/>
          <w:kern w:val="0"/>
          <w:szCs w:val="20"/>
        </w:rPr>
        <w:t>曾向坤</w:t>
      </w:r>
      <w:r>
        <w:rPr>
          <w:rFonts w:hint="eastAsia" w:ascii="宋体"/>
          <w:kern w:val="0"/>
          <w:szCs w:val="20"/>
        </w:rPr>
        <w:t>、</w:t>
      </w:r>
      <w:r>
        <w:rPr>
          <w:rFonts w:hint="eastAsia" w:ascii="宋体" w:hAnsi="宋体" w:cs="宋体"/>
          <w:kern w:val="0"/>
          <w:szCs w:val="20"/>
        </w:rPr>
        <w:t>张楚妃</w:t>
      </w:r>
      <w:r>
        <w:rPr>
          <w:rFonts w:hint="eastAsia" w:ascii="宋体"/>
          <w:kern w:val="0"/>
          <w:szCs w:val="20"/>
        </w:rPr>
        <w:t>、黄艳群、王秀瑛、林闻潘、柯文伟。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</w:rPr>
        <w:t>本标准于2012年12月首次发布，本次为第一次修订。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</w:p>
    <w:p>
      <w:pPr>
        <w:pStyle w:val="21"/>
      </w:pPr>
    </w:p>
    <w:p>
      <w:pPr>
        <w:pStyle w:val="21"/>
      </w:pP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海水池塘斑节对虾生态混养技术规范</w:t>
          </w:r>
        </w:sdtContent>
      </w:sdt>
      <w:bookmarkStart w:id="12" w:name="StandardName"/>
      <w:bookmarkEnd w:id="12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本标准规定了斑节对虾</w:t>
      </w:r>
      <w:r>
        <w:rPr>
          <w:rFonts w:ascii="宋体"/>
          <w:kern w:val="0"/>
          <w:szCs w:val="21"/>
        </w:rPr>
        <w:t>（</w:t>
      </w:r>
      <w:r>
        <w:rPr>
          <w:i/>
          <w:iCs/>
          <w:kern w:val="0"/>
          <w:szCs w:val="21"/>
        </w:rPr>
        <w:t>Penaeus monodon</w:t>
      </w:r>
      <w:r>
        <w:rPr>
          <w:rFonts w:ascii="宋体"/>
          <w:kern w:val="0"/>
          <w:szCs w:val="21"/>
        </w:rPr>
        <w:t>）</w:t>
      </w:r>
      <w:r>
        <w:rPr>
          <w:rFonts w:hint="eastAsia" w:ascii="宋体"/>
          <w:kern w:val="0"/>
          <w:szCs w:val="21"/>
        </w:rPr>
        <w:t>与其它海水鱼类</w:t>
      </w:r>
      <w:r>
        <w:rPr>
          <w:rFonts w:ascii="宋体"/>
          <w:kern w:val="0"/>
          <w:szCs w:val="21"/>
        </w:rPr>
        <w:t>池塘</w:t>
      </w:r>
      <w:r>
        <w:rPr>
          <w:rFonts w:hint="eastAsia" w:ascii="宋体"/>
          <w:kern w:val="0"/>
          <w:szCs w:val="21"/>
        </w:rPr>
        <w:t>混</w:t>
      </w:r>
      <w:r>
        <w:rPr>
          <w:rFonts w:ascii="宋体"/>
          <w:kern w:val="0"/>
          <w:szCs w:val="21"/>
        </w:rPr>
        <w:t>养的养殖条件、</w:t>
      </w:r>
      <w:r>
        <w:rPr>
          <w:rFonts w:ascii="黑体" w:hAnsi="黑体" w:cs="黑体"/>
          <w:kern w:val="0"/>
          <w:szCs w:val="21"/>
        </w:rPr>
        <w:t>养</w:t>
      </w:r>
      <w:r>
        <w:rPr>
          <w:rFonts w:ascii="宋体"/>
          <w:kern w:val="0"/>
          <w:szCs w:val="21"/>
        </w:rPr>
        <w:t>殖</w:t>
      </w:r>
      <w:r>
        <w:rPr>
          <w:rFonts w:ascii="黑体" w:hAnsi="黑体" w:cs="黑体"/>
          <w:kern w:val="0"/>
          <w:szCs w:val="21"/>
        </w:rPr>
        <w:t>前准备</w:t>
      </w:r>
      <w:r>
        <w:rPr>
          <w:rFonts w:ascii="宋体"/>
          <w:kern w:val="0"/>
          <w:szCs w:val="21"/>
        </w:rPr>
        <w:t>、</w:t>
      </w:r>
      <w:r>
        <w:rPr>
          <w:rFonts w:hint="eastAsia" w:ascii="宋体"/>
          <w:kern w:val="0"/>
          <w:szCs w:val="21"/>
        </w:rPr>
        <w:t>苗种、</w:t>
      </w:r>
      <w:r>
        <w:rPr>
          <w:rFonts w:ascii="宋体"/>
          <w:kern w:val="0"/>
          <w:szCs w:val="21"/>
        </w:rPr>
        <w:t>养殖</w:t>
      </w:r>
      <w:r>
        <w:rPr>
          <w:rFonts w:hint="eastAsia" w:ascii="宋体"/>
          <w:kern w:val="0"/>
          <w:szCs w:val="21"/>
        </w:rPr>
        <w:t>管理、</w:t>
      </w:r>
      <w:r>
        <w:rPr>
          <w:rFonts w:ascii="宋体"/>
          <w:kern w:val="0"/>
          <w:szCs w:val="21"/>
        </w:rPr>
        <w:t>病害防治和</w:t>
      </w:r>
      <w:r>
        <w:rPr>
          <w:rFonts w:hint="eastAsia" w:ascii="宋体"/>
          <w:kern w:val="0"/>
          <w:szCs w:val="21"/>
        </w:rPr>
        <w:t>收获等内容。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本标准适用于汕头市辖区内河口区的斑节对虾与其它海水鱼类混养</w:t>
      </w:r>
      <w:r>
        <w:rPr>
          <w:rFonts w:ascii="宋体"/>
          <w:kern w:val="0"/>
          <w:szCs w:val="21"/>
        </w:rPr>
        <w:t>生产。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GB 11607  渔业水质标准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0"/>
        </w:rPr>
      </w:pPr>
      <w:r>
        <w:rPr>
          <w:rFonts w:ascii="宋体" w:hAnsi="宋体"/>
          <w:kern w:val="0"/>
          <w:szCs w:val="20"/>
        </w:rPr>
        <w:t xml:space="preserve">GB 13078  </w:t>
      </w:r>
      <w:r>
        <w:rPr>
          <w:rFonts w:ascii="宋体" w:hAnsi="宋体" w:cs="宋体"/>
          <w:kern w:val="0"/>
          <w:szCs w:val="20"/>
        </w:rPr>
        <w:t>饲料卫生标准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NY 5052</w:t>
      </w:r>
      <w:r>
        <w:rPr>
          <w:rFonts w:hint="eastAsia" w:ascii="宋体" w:hAnsi="宋体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无公害食品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ascii="宋体" w:hAnsi="宋体"/>
          <w:kern w:val="0"/>
          <w:szCs w:val="21"/>
        </w:rPr>
        <w:t>海水养殖用水水质</w:t>
      </w:r>
      <w:r>
        <w:rPr>
          <w:rFonts w:hint="eastAsia" w:ascii="宋体" w:hAnsi="宋体"/>
          <w:kern w:val="0"/>
          <w:szCs w:val="21"/>
        </w:rPr>
        <w:t>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 xml:space="preserve">NY 5071　无公害食品 渔用药物使用准则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kern w:val="0"/>
          <w:szCs w:val="20"/>
        </w:rPr>
        <w:t>NY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5072  无公害食品</w:t>
      </w:r>
      <w:r>
        <w:rPr>
          <w:rFonts w:hint="eastAsia" w:ascii="宋体" w:hAnsi="宋体"/>
          <w:kern w:val="0"/>
          <w:szCs w:val="20"/>
        </w:rPr>
        <w:t xml:space="preserve"> </w:t>
      </w:r>
      <w:r>
        <w:rPr>
          <w:rFonts w:ascii="宋体" w:hAnsi="宋体"/>
          <w:kern w:val="0"/>
          <w:szCs w:val="20"/>
        </w:rPr>
        <w:t>渔用配合饲料安全限量</w:t>
      </w:r>
    </w:p>
    <w:p>
      <w:pPr>
        <w:pStyle w:val="41"/>
        <w:spacing w:before="312" w:after="312"/>
      </w:pPr>
      <w:r>
        <w:rPr>
          <w:rFonts w:hint="eastAsia"/>
        </w:rPr>
        <w:t>养殖条件</w:t>
      </w:r>
    </w:p>
    <w:p>
      <w:pPr>
        <w:pStyle w:val="38"/>
        <w:spacing w:before="156" w:after="156"/>
      </w:pPr>
      <w:r>
        <w:rPr>
          <w:rFonts w:hint="eastAsia"/>
        </w:rPr>
        <w:t>选址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水源</w:t>
      </w:r>
      <w:r>
        <w:rPr>
          <w:rFonts w:hint="eastAsia" w:asciiTheme="minorEastAsia" w:hAnsiTheme="minorEastAsia" w:eastAsiaTheme="minorEastAsia"/>
        </w:rPr>
        <w:t>水质应符合GB 11607的水质要求，</w:t>
      </w:r>
      <w:r>
        <w:rPr>
          <w:rFonts w:asciiTheme="minorEastAsia" w:hAnsiTheme="minorEastAsia" w:eastAsiaTheme="minorEastAsia"/>
        </w:rPr>
        <w:t>养殖用水应符合NY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505</w:t>
      </w:r>
      <w:r>
        <w:rPr>
          <w:rFonts w:hint="eastAsia" w:asciiTheme="minorEastAsia" w:hAnsiTheme="minorEastAsia" w:eastAsiaTheme="minorEastAsia"/>
        </w:rPr>
        <w:t>2</w:t>
      </w:r>
      <w:r>
        <w:rPr>
          <w:rFonts w:asciiTheme="minorEastAsia" w:hAnsiTheme="minorEastAsia" w:eastAsiaTheme="minorEastAsia"/>
        </w:rPr>
        <w:t xml:space="preserve"> 的规定</w:t>
      </w:r>
      <w:r>
        <w:rPr>
          <w:rFonts w:hint="eastAsia" w:asciiTheme="minorEastAsia" w:hAnsiTheme="minorEastAsia" w:eastAsiaTheme="minorEastAsia"/>
        </w:rPr>
        <w:t>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水源</w:t>
      </w:r>
      <w:r>
        <w:rPr>
          <w:rFonts w:hint="eastAsia" w:asciiTheme="minorEastAsia" w:hAnsiTheme="minorEastAsia" w:eastAsiaTheme="minorEastAsia"/>
        </w:rPr>
        <w:t>充足</w:t>
      </w:r>
      <w:r>
        <w:rPr>
          <w:rFonts w:asciiTheme="minorEastAsia" w:hAnsiTheme="minorEastAsia" w:eastAsiaTheme="minorEastAsia"/>
        </w:rPr>
        <w:t>，</w:t>
      </w:r>
      <w:r>
        <w:rPr>
          <w:rFonts w:hint="eastAsia" w:asciiTheme="minorEastAsia" w:hAnsiTheme="minorEastAsia" w:eastAsiaTheme="minorEastAsia"/>
        </w:rPr>
        <w:t>能按需要量靠自然潮差进排水，或靠水泵自由提水。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养殖用</w:t>
      </w:r>
      <w:r>
        <w:rPr>
          <w:rFonts w:hint="eastAsia" w:asciiTheme="minorEastAsia" w:hAnsiTheme="minorEastAsia" w:eastAsiaTheme="minorEastAsia"/>
        </w:rPr>
        <w:t>水</w:t>
      </w:r>
      <w:r>
        <w:rPr>
          <w:rFonts w:asciiTheme="minorEastAsia" w:hAnsiTheme="minorEastAsia" w:eastAsiaTheme="minorEastAsia"/>
        </w:rPr>
        <w:t>盐度</w:t>
      </w:r>
      <w:r>
        <w:rPr>
          <w:rFonts w:hint="eastAsia" w:asciiTheme="minorEastAsia" w:hAnsiTheme="minorEastAsia" w:eastAsiaTheme="minorEastAsia"/>
        </w:rPr>
        <w:t>控制在10%以内。</w:t>
      </w:r>
    </w:p>
    <w:p>
      <w:pPr>
        <w:pStyle w:val="38"/>
        <w:spacing w:before="156" w:after="156"/>
      </w:pPr>
      <w:r>
        <w:rPr>
          <w:rFonts w:hint="eastAsia"/>
        </w:rPr>
        <w:t>养殖设施</w:t>
      </w:r>
    </w:p>
    <w:p>
      <w:pPr>
        <w:pStyle w:val="42"/>
        <w:spacing w:before="156" w:after="156"/>
      </w:pPr>
      <w:r>
        <w:rPr>
          <w:rFonts w:hint="eastAsia"/>
        </w:rPr>
        <w:t>养殖池塘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/>
          <w:kern w:val="0"/>
          <w:szCs w:val="22"/>
        </w:rPr>
      </w:pPr>
      <w:r>
        <w:rPr>
          <w:rFonts w:hint="eastAsia" w:ascii="宋体"/>
          <w:kern w:val="0"/>
          <w:szCs w:val="20"/>
        </w:rPr>
        <w:t>养殖</w:t>
      </w:r>
      <w:r>
        <w:rPr>
          <w:rFonts w:ascii="宋体"/>
          <w:kern w:val="0"/>
          <w:szCs w:val="20"/>
        </w:rPr>
        <w:t>池塘面积以</w:t>
      </w:r>
      <w:r>
        <w:rPr>
          <w:rFonts w:hint="eastAsia" w:ascii="宋体"/>
          <w:kern w:val="0"/>
          <w:szCs w:val="20"/>
        </w:rPr>
        <w:t>（1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3）hm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ascii="宋体"/>
          <w:kern w:val="0"/>
          <w:szCs w:val="20"/>
        </w:rPr>
        <w:t>为佳；水深要求1.</w:t>
      </w:r>
      <w:r>
        <w:rPr>
          <w:rFonts w:hint="eastAsia" w:ascii="宋体"/>
          <w:kern w:val="0"/>
          <w:szCs w:val="20"/>
        </w:rPr>
        <w:t>2</w:t>
      </w:r>
      <w:r>
        <w:rPr>
          <w:rFonts w:ascii="宋体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m以上</w:t>
      </w:r>
      <w:r>
        <w:rPr>
          <w:rFonts w:ascii="宋体" w:hAnsi="宋体"/>
          <w:kern w:val="0"/>
          <w:szCs w:val="22"/>
        </w:rPr>
        <w:t>。池底应平坦，底质一般以泥沙底为佳，保水性好。每口池塘</w:t>
      </w:r>
      <w:r>
        <w:rPr>
          <w:rFonts w:hint="eastAsia" w:ascii="宋体" w:hAnsi="宋体"/>
          <w:kern w:val="0"/>
          <w:szCs w:val="22"/>
        </w:rPr>
        <w:t>应</w:t>
      </w:r>
      <w:r>
        <w:rPr>
          <w:rFonts w:ascii="宋体" w:hAnsi="宋体"/>
          <w:kern w:val="0"/>
          <w:szCs w:val="22"/>
        </w:rPr>
        <w:t>有相对独立的进排水系统</w:t>
      </w:r>
      <w:r>
        <w:rPr>
          <w:rFonts w:hint="eastAsia" w:ascii="宋体" w:hAnsi="宋体"/>
          <w:kern w:val="0"/>
          <w:szCs w:val="22"/>
        </w:rPr>
        <w:t>，</w:t>
      </w:r>
      <w:r>
        <w:rPr>
          <w:rFonts w:ascii="宋体" w:hAnsi="宋体"/>
          <w:kern w:val="0"/>
          <w:szCs w:val="22"/>
        </w:rPr>
        <w:t>排水</w:t>
      </w:r>
      <w:r>
        <w:rPr>
          <w:rFonts w:hint="eastAsia" w:ascii="宋体" w:hAnsi="宋体"/>
          <w:kern w:val="0"/>
          <w:szCs w:val="22"/>
        </w:rPr>
        <w:t>闸能</w:t>
      </w:r>
      <w:r>
        <w:rPr>
          <w:rFonts w:ascii="宋体" w:hAnsi="宋体"/>
          <w:kern w:val="0"/>
          <w:szCs w:val="22"/>
        </w:rPr>
        <w:t>排</w:t>
      </w:r>
      <w:r>
        <w:rPr>
          <w:rFonts w:ascii="宋体"/>
          <w:kern w:val="0"/>
          <w:szCs w:val="20"/>
        </w:rPr>
        <w:t>干池</w:t>
      </w:r>
      <w:r>
        <w:rPr>
          <w:rFonts w:ascii="宋体" w:hAnsi="宋体"/>
          <w:kern w:val="0"/>
          <w:szCs w:val="22"/>
        </w:rPr>
        <w:t xml:space="preserve">水。  </w:t>
      </w:r>
    </w:p>
    <w:p>
      <w:pPr>
        <w:pStyle w:val="42"/>
        <w:spacing w:before="156" w:after="156"/>
      </w:pPr>
      <w:r>
        <w:rPr>
          <w:rFonts w:hint="eastAsia"/>
        </w:rPr>
        <w:t>配套设施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增氧机配备：每公顷池塘配备叶轮式或水车式增氧机</w:t>
      </w:r>
      <w:r>
        <w:rPr>
          <w:rFonts w:hint="eastAsia" w:asciiTheme="minorEastAsia" w:hAnsiTheme="minorEastAsia" w:eastAsiaTheme="minorEastAsia"/>
        </w:rPr>
        <w:t>(4</w:t>
      </w:r>
      <w:r>
        <w:rPr>
          <w:rFonts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8)</w:t>
      </w:r>
      <w:r>
        <w:rPr>
          <w:rFonts w:asciiTheme="minorEastAsia" w:hAnsiTheme="minorEastAsia" w:eastAsiaTheme="minorEastAsia"/>
        </w:rPr>
        <w:t>台</w:t>
      </w:r>
      <w:r>
        <w:rPr>
          <w:rFonts w:hint="eastAsia" w:asciiTheme="minorEastAsia" w:hAnsiTheme="minorEastAsia" w:eastAsiaTheme="minorEastAsia"/>
        </w:rPr>
        <w:t>(（1.1</w:t>
      </w:r>
      <w:r>
        <w:rPr>
          <w:rFonts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1.5）kw／台）</w:t>
      </w:r>
      <w:r>
        <w:rPr>
          <w:rFonts w:asciiTheme="minorEastAsia" w:hAnsiTheme="minorEastAsia" w:eastAsiaTheme="minorEastAsia"/>
        </w:rPr>
        <w:t>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机电系统：要配有完善的供电系统。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小木船等生产工具。</w:t>
      </w:r>
    </w:p>
    <w:p>
      <w:pPr>
        <w:pStyle w:val="41"/>
        <w:spacing w:before="312" w:after="312"/>
      </w:pPr>
      <w:r>
        <w:rPr>
          <w:rFonts w:hint="eastAsia"/>
        </w:rPr>
        <w:t>养殖前准备</w:t>
      </w:r>
    </w:p>
    <w:p>
      <w:pPr>
        <w:pStyle w:val="38"/>
        <w:spacing w:before="156" w:after="156"/>
      </w:pPr>
      <w:r>
        <w:rPr>
          <w:rFonts w:hint="eastAsia"/>
        </w:rPr>
        <w:t>池塘修整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cs="黑体"/>
          <w:kern w:val="0"/>
          <w:szCs w:val="20"/>
        </w:rPr>
      </w:pPr>
      <w:r>
        <w:rPr>
          <w:rFonts w:ascii="宋体"/>
          <w:kern w:val="0"/>
          <w:szCs w:val="20"/>
        </w:rPr>
        <w:t>检查及修整堤坝和进排水系统</w:t>
      </w:r>
      <w:r>
        <w:rPr>
          <w:rFonts w:ascii="宋体" w:cs="黑体"/>
          <w:kern w:val="0"/>
          <w:szCs w:val="20"/>
        </w:rPr>
        <w:t>。</w:t>
      </w:r>
    </w:p>
    <w:p>
      <w:pPr>
        <w:pStyle w:val="38"/>
        <w:spacing w:before="156" w:after="156"/>
      </w:pPr>
      <w:r>
        <w:t>清淤晒塘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cs="黑体"/>
          <w:kern w:val="0"/>
          <w:szCs w:val="20"/>
        </w:rPr>
      </w:pPr>
      <w:r>
        <w:rPr>
          <w:rFonts w:ascii="宋体"/>
          <w:kern w:val="0"/>
          <w:szCs w:val="20"/>
        </w:rPr>
        <w:t>在苗种放养前排干池水，清除淤泥，曝晒池底</w:t>
      </w:r>
      <w:r>
        <w:rPr>
          <w:rFonts w:hint="eastAsia" w:ascii="宋体"/>
          <w:kern w:val="0"/>
          <w:szCs w:val="20"/>
        </w:rPr>
        <w:t>15 d</w:t>
      </w:r>
      <w:r>
        <w:rPr>
          <w:rFonts w:ascii="宋体"/>
          <w:kern w:val="0"/>
          <w:szCs w:val="20"/>
        </w:rPr>
        <w:t>以上</w:t>
      </w:r>
      <w:r>
        <w:rPr>
          <w:rFonts w:ascii="宋体" w:cs="黑体"/>
          <w:kern w:val="0"/>
          <w:szCs w:val="20"/>
        </w:rPr>
        <w:t>。</w:t>
      </w:r>
    </w:p>
    <w:p>
      <w:pPr>
        <w:pStyle w:val="38"/>
        <w:spacing w:before="156" w:after="156"/>
      </w:pPr>
      <w:r>
        <w:rPr>
          <w:rFonts w:hint="eastAsia"/>
        </w:rPr>
        <w:t>设置虾苗暂养池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在池塘中用20目筛</w:t>
      </w:r>
      <w:r>
        <w:rPr>
          <w:rFonts w:ascii="宋体"/>
          <w:kern w:val="0"/>
          <w:szCs w:val="20"/>
        </w:rPr>
        <w:t>绢</w:t>
      </w:r>
      <w:r>
        <w:rPr>
          <w:rFonts w:hint="eastAsia" w:ascii="宋体"/>
          <w:kern w:val="0"/>
          <w:szCs w:val="20"/>
        </w:rPr>
        <w:t>网围成一围隔，用于虾苗暂养。</w:t>
      </w:r>
    </w:p>
    <w:p>
      <w:pPr>
        <w:pStyle w:val="38"/>
        <w:spacing w:before="156" w:after="156"/>
      </w:pPr>
      <w:r>
        <w:t>消毒</w:t>
      </w:r>
      <w:r>
        <w:rPr>
          <w:rFonts w:hint="eastAsia"/>
        </w:rPr>
        <w:t>与除害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cs="宋体"/>
          <w:kern w:val="0"/>
          <w:szCs w:val="20"/>
        </w:rPr>
      </w:pPr>
      <w:r>
        <w:rPr>
          <w:rFonts w:ascii="宋体" w:cs="宋体"/>
          <w:kern w:val="0"/>
          <w:szCs w:val="20"/>
        </w:rPr>
        <w:t>清淤曝晒后的池塘，</w:t>
      </w:r>
      <w:r>
        <w:rPr>
          <w:rFonts w:hint="eastAsia" w:ascii="宋体"/>
          <w:kern w:val="0"/>
          <w:szCs w:val="20"/>
        </w:rPr>
        <w:t>养殖</w:t>
      </w:r>
      <w:r>
        <w:rPr>
          <w:rFonts w:ascii="宋体"/>
          <w:kern w:val="0"/>
          <w:szCs w:val="20"/>
        </w:rPr>
        <w:t>用水经60目筛绢网过滤，</w:t>
      </w:r>
      <w:r>
        <w:rPr>
          <w:rFonts w:hint="eastAsia" w:ascii="宋体" w:cs="宋体"/>
          <w:kern w:val="0"/>
          <w:szCs w:val="20"/>
        </w:rPr>
        <w:t>一次性</w:t>
      </w:r>
      <w:r>
        <w:rPr>
          <w:rFonts w:ascii="宋体" w:cs="宋体"/>
          <w:kern w:val="0"/>
          <w:szCs w:val="20"/>
        </w:rPr>
        <w:t>进</w:t>
      </w:r>
      <w:r>
        <w:rPr>
          <w:rFonts w:hint="eastAsia" w:ascii="宋体" w:cs="宋体"/>
          <w:kern w:val="0"/>
          <w:szCs w:val="20"/>
        </w:rPr>
        <w:t>满</w:t>
      </w:r>
      <w:r>
        <w:rPr>
          <w:rFonts w:ascii="宋体" w:cs="宋体"/>
          <w:kern w:val="0"/>
          <w:szCs w:val="20"/>
        </w:rPr>
        <w:t>水，</w:t>
      </w:r>
      <w:r>
        <w:rPr>
          <w:rFonts w:hint="eastAsia" w:ascii="宋体"/>
          <w:kern w:val="0"/>
          <w:szCs w:val="20"/>
        </w:rPr>
        <w:t>采用</w:t>
      </w:r>
      <w:r>
        <w:rPr>
          <w:rFonts w:ascii="宋体" w:cs="宋体"/>
          <w:kern w:val="0"/>
          <w:szCs w:val="20"/>
        </w:rPr>
        <w:t>漂白粉</w:t>
      </w:r>
      <w:r>
        <w:rPr>
          <w:rFonts w:hint="eastAsia" w:ascii="宋体"/>
          <w:kern w:val="0"/>
          <w:szCs w:val="20"/>
        </w:rPr>
        <w:t>50×10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ascii="宋体" w:cs="宋体"/>
          <w:kern w:val="0"/>
          <w:szCs w:val="20"/>
        </w:rPr>
        <w:t>全池泼洒</w:t>
      </w:r>
      <w:r>
        <w:rPr>
          <w:rFonts w:hint="eastAsia" w:ascii="宋体"/>
          <w:kern w:val="0"/>
          <w:szCs w:val="20"/>
        </w:rPr>
        <w:t>清塘消毒；或使用茶子饼30×10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hint="eastAsia" w:ascii="宋体" w:cs="宋体"/>
          <w:kern w:val="0"/>
          <w:szCs w:val="20"/>
        </w:rPr>
        <w:t>与敌百虫</w:t>
      </w:r>
      <w:r>
        <w:rPr>
          <w:rFonts w:hint="eastAsia" w:ascii="宋体"/>
          <w:kern w:val="0"/>
          <w:szCs w:val="20"/>
        </w:rPr>
        <w:t>1×10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ascii="宋体" w:cs="宋体"/>
          <w:kern w:val="0"/>
          <w:szCs w:val="20"/>
        </w:rPr>
        <w:t>全池泼洒消毒</w:t>
      </w:r>
      <w:r>
        <w:rPr>
          <w:rFonts w:hint="eastAsia" w:ascii="宋体" w:cs="宋体"/>
          <w:kern w:val="0"/>
          <w:szCs w:val="20"/>
        </w:rPr>
        <w:t>，也可用</w:t>
      </w:r>
      <w:r>
        <w:rPr>
          <w:rFonts w:hint="eastAsia" w:ascii="宋体"/>
          <w:kern w:val="0"/>
          <w:szCs w:val="20"/>
        </w:rPr>
        <w:t>茶子饼30×10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hint="eastAsia" w:ascii="宋体" w:cs="宋体"/>
          <w:kern w:val="0"/>
          <w:szCs w:val="20"/>
        </w:rPr>
        <w:t>与溴氰菊酯</w:t>
      </w:r>
      <w:r>
        <w:rPr>
          <w:rFonts w:hint="eastAsia" w:ascii="宋体"/>
          <w:kern w:val="0"/>
          <w:szCs w:val="20"/>
        </w:rPr>
        <w:t>0.01×10</w:t>
      </w:r>
      <w:r>
        <w:rPr>
          <w:rFonts w:hint="eastAsia" w:ascii="宋体"/>
          <w:kern w:val="0"/>
          <w:szCs w:val="20"/>
          <w:vertAlign w:val="superscript"/>
        </w:rPr>
        <w:t>－6</w:t>
      </w:r>
      <w:r>
        <w:rPr>
          <w:rFonts w:ascii="宋体" w:cs="宋体"/>
          <w:kern w:val="0"/>
          <w:szCs w:val="20"/>
        </w:rPr>
        <w:t>全池泼洒消毒。</w:t>
      </w:r>
    </w:p>
    <w:p>
      <w:pPr>
        <w:pStyle w:val="38"/>
        <w:spacing w:before="156" w:after="156"/>
      </w:pPr>
      <w:r>
        <w:t>基础饵料培养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经过(7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8) d曝晒，水色呈清爽浅绿色或浅茶褐色，</w:t>
      </w:r>
      <w:r>
        <w:rPr>
          <w:rFonts w:ascii="宋体"/>
          <w:kern w:val="0"/>
          <w:szCs w:val="20"/>
        </w:rPr>
        <w:t>透明度保持在4</w:t>
      </w:r>
      <w:r>
        <w:rPr>
          <w:rFonts w:hint="eastAsia" w:ascii="宋体"/>
          <w:kern w:val="0"/>
          <w:szCs w:val="20"/>
        </w:rPr>
        <w:t>5 cm</w:t>
      </w:r>
      <w:r>
        <w:rPr>
          <w:rFonts w:ascii="宋体"/>
          <w:kern w:val="0"/>
          <w:szCs w:val="20"/>
        </w:rPr>
        <w:t>左右，</w:t>
      </w:r>
      <w:r>
        <w:rPr>
          <w:rFonts w:hint="eastAsia" w:ascii="宋体"/>
          <w:kern w:val="0"/>
          <w:szCs w:val="20"/>
        </w:rPr>
        <w:t>可开始</w:t>
      </w:r>
      <w:r>
        <w:rPr>
          <w:rFonts w:ascii="宋体"/>
          <w:kern w:val="0"/>
          <w:szCs w:val="20"/>
        </w:rPr>
        <w:t>放苗。</w:t>
      </w:r>
    </w:p>
    <w:p>
      <w:pPr>
        <w:pStyle w:val="41"/>
        <w:spacing w:before="312" w:after="312"/>
      </w:pPr>
      <w:r>
        <w:rPr>
          <w:rFonts w:hint="eastAsia"/>
        </w:rPr>
        <w:t>苗种</w:t>
      </w:r>
    </w:p>
    <w:p>
      <w:pPr>
        <w:pStyle w:val="38"/>
        <w:spacing w:before="156" w:after="156"/>
      </w:pPr>
      <w:r>
        <w:rPr>
          <w:rFonts w:hint="eastAsia"/>
        </w:rPr>
        <w:t>质量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选择</w:t>
      </w:r>
      <w:r>
        <w:rPr>
          <w:rFonts w:ascii="宋体"/>
          <w:kern w:val="0"/>
          <w:szCs w:val="20"/>
        </w:rPr>
        <w:t>体质健壮、规格整齐、</w:t>
      </w:r>
      <w:r>
        <w:rPr>
          <w:rFonts w:hint="eastAsia" w:ascii="宋体"/>
          <w:kern w:val="0"/>
          <w:szCs w:val="20"/>
        </w:rPr>
        <w:t>体色鲜亮、</w:t>
      </w:r>
      <w:r>
        <w:rPr>
          <w:rFonts w:ascii="宋体"/>
          <w:kern w:val="0"/>
          <w:szCs w:val="20"/>
        </w:rPr>
        <w:t>活力好、无伤</w:t>
      </w:r>
      <w:r>
        <w:rPr>
          <w:rFonts w:hint="eastAsia" w:ascii="宋体"/>
          <w:kern w:val="0"/>
          <w:szCs w:val="20"/>
        </w:rPr>
        <w:t>病</w:t>
      </w:r>
      <w:r>
        <w:rPr>
          <w:rFonts w:ascii="宋体"/>
          <w:kern w:val="0"/>
          <w:szCs w:val="20"/>
        </w:rPr>
        <w:t>、无畸形、摄食情况良好的苗种。异地采购的苗种，应经检疫合格。</w:t>
      </w:r>
      <w:r>
        <w:rPr>
          <w:rFonts w:hint="eastAsia" w:ascii="宋体"/>
          <w:kern w:val="0"/>
          <w:szCs w:val="20"/>
        </w:rPr>
        <w:t xml:space="preserve"> </w:t>
      </w:r>
    </w:p>
    <w:p>
      <w:pPr>
        <w:pStyle w:val="38"/>
        <w:spacing w:before="156" w:after="156"/>
      </w:pPr>
      <w:r>
        <w:rPr>
          <w:rFonts w:hint="eastAsia"/>
        </w:rPr>
        <w:t>规格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斑节对虾</w:t>
      </w:r>
      <w:r>
        <w:rPr>
          <w:rFonts w:ascii="宋体"/>
          <w:kern w:val="0"/>
          <w:szCs w:val="20"/>
        </w:rPr>
        <w:t>苗规格为全长</w:t>
      </w:r>
      <w:r>
        <w:rPr>
          <w:rFonts w:hint="eastAsia" w:ascii="宋体"/>
          <w:kern w:val="0"/>
          <w:szCs w:val="20"/>
        </w:rPr>
        <w:t>1</w:t>
      </w:r>
      <w:r>
        <w:rPr>
          <w:rFonts w:ascii="宋体"/>
          <w:kern w:val="0"/>
          <w:szCs w:val="20"/>
        </w:rPr>
        <w:t>.</w:t>
      </w:r>
      <w:r>
        <w:rPr>
          <w:rFonts w:hint="eastAsia" w:ascii="宋体"/>
          <w:kern w:val="0"/>
          <w:szCs w:val="20"/>
        </w:rPr>
        <w:t>0 cm以上，鲮鮻、鲻鱼、黄鳍鲷、花尾胡椒鲷鱼</w:t>
      </w:r>
      <w:r>
        <w:rPr>
          <w:rFonts w:ascii="宋体"/>
          <w:kern w:val="0"/>
          <w:szCs w:val="20"/>
        </w:rPr>
        <w:t>苗规格为全长</w:t>
      </w:r>
      <w:r>
        <w:rPr>
          <w:rFonts w:hint="eastAsia" w:ascii="宋体"/>
          <w:kern w:val="0"/>
          <w:szCs w:val="20"/>
        </w:rPr>
        <w:t>3</w:t>
      </w:r>
      <w:r>
        <w:rPr>
          <w:rFonts w:ascii="宋体"/>
          <w:kern w:val="0"/>
          <w:szCs w:val="20"/>
        </w:rPr>
        <w:t>.</w:t>
      </w:r>
      <w:r>
        <w:rPr>
          <w:rFonts w:hint="eastAsia" w:ascii="宋体"/>
          <w:kern w:val="0"/>
          <w:szCs w:val="20"/>
        </w:rPr>
        <w:t>0 cm以上,蟹苗壳宽1.0 cm以上。</w:t>
      </w:r>
    </w:p>
    <w:p>
      <w:pPr>
        <w:pStyle w:val="38"/>
        <w:spacing w:before="156" w:after="156"/>
      </w:pPr>
      <w:r>
        <w:rPr>
          <w:rFonts w:hint="eastAsia"/>
        </w:rPr>
        <w:t>运输</w:t>
      </w:r>
    </w:p>
    <w:p>
      <w:pPr>
        <w:pStyle w:val="42"/>
        <w:spacing w:before="156" w:after="156"/>
      </w:pPr>
      <w:r>
        <w:rPr>
          <w:rFonts w:hint="eastAsia"/>
        </w:rPr>
        <w:t>准备</w:t>
      </w:r>
    </w:p>
    <w:p>
      <w:pPr>
        <w:autoSpaceDE w:val="0"/>
        <w:autoSpaceDN w:val="0"/>
        <w:adjustRightInd w:val="0"/>
        <w:spacing w:line="306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根据运输苗种的规格、数量和天气状况，确定运输工具、运输方式、运输时间、运输路线、运输密度；做好装运工具的检查、清洗与消毒工作。</w:t>
      </w:r>
    </w:p>
    <w:p>
      <w:pPr>
        <w:pStyle w:val="42"/>
        <w:spacing w:before="156" w:after="156"/>
        <w:rPr>
          <w:rFonts w:hAnsi="黑体" w:cs="黑体"/>
        </w:rPr>
      </w:pPr>
      <w:r>
        <w:rPr>
          <w:rFonts w:hint="eastAsia" w:hAnsi="黑体" w:cs="黑体"/>
        </w:rPr>
        <w:t>拉网和停食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鱼</w:t>
      </w:r>
      <w:r>
        <w:rPr>
          <w:rFonts w:ascii="宋体"/>
          <w:kern w:val="0"/>
          <w:szCs w:val="20"/>
        </w:rPr>
        <w:t>苗种在运输前应进行拉网锻炼</w:t>
      </w:r>
      <w:r>
        <w:rPr>
          <w:rFonts w:hint="eastAsia" w:ascii="宋体"/>
          <w:kern w:val="0"/>
          <w:szCs w:val="20"/>
        </w:rPr>
        <w:t>（</w:t>
      </w:r>
      <w:r>
        <w:rPr>
          <w:rFonts w:ascii="宋体"/>
          <w:kern w:val="0"/>
          <w:szCs w:val="20"/>
        </w:rPr>
        <w:t>2～3</w:t>
      </w:r>
      <w:r>
        <w:rPr>
          <w:rFonts w:hint="eastAsia" w:ascii="宋体"/>
          <w:kern w:val="0"/>
          <w:szCs w:val="20"/>
        </w:rPr>
        <w:t>）次，</w:t>
      </w:r>
      <w:r>
        <w:rPr>
          <w:rFonts w:ascii="宋体"/>
          <w:kern w:val="0"/>
          <w:szCs w:val="20"/>
        </w:rPr>
        <w:t>运输前应停食1</w:t>
      </w:r>
      <w:r>
        <w:rPr>
          <w:rFonts w:hint="eastAsia" w:ascii="宋体"/>
          <w:kern w:val="0"/>
          <w:szCs w:val="20"/>
        </w:rPr>
        <w:t xml:space="preserve"> d</w:t>
      </w:r>
      <w:r>
        <w:rPr>
          <w:rFonts w:ascii="宋体"/>
          <w:kern w:val="0"/>
          <w:szCs w:val="20"/>
        </w:rPr>
        <w:t>。</w:t>
      </w:r>
    </w:p>
    <w:p>
      <w:pPr>
        <w:pStyle w:val="42"/>
        <w:spacing w:before="156" w:after="156"/>
        <w:rPr>
          <w:rFonts w:hAnsi="黑体" w:cs="黑体"/>
        </w:rPr>
      </w:pPr>
      <w:r>
        <w:rPr>
          <w:rFonts w:hint="eastAsia" w:hAnsi="黑体" w:cs="黑体"/>
        </w:rPr>
        <w:t>苗种运输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一般为</w:t>
      </w:r>
      <w:r>
        <w:rPr>
          <w:rFonts w:ascii="宋体"/>
          <w:kern w:val="0"/>
          <w:szCs w:val="20"/>
        </w:rPr>
        <w:t>汽车</w:t>
      </w:r>
      <w:r>
        <w:rPr>
          <w:rFonts w:hint="eastAsia" w:ascii="宋体"/>
          <w:kern w:val="0"/>
          <w:szCs w:val="20"/>
        </w:rPr>
        <w:t>帆布桶</w:t>
      </w:r>
      <w:r>
        <w:rPr>
          <w:rFonts w:ascii="宋体"/>
          <w:kern w:val="0"/>
          <w:szCs w:val="20"/>
        </w:rPr>
        <w:t>充氧运输</w:t>
      </w:r>
      <w:r>
        <w:rPr>
          <w:rFonts w:hint="eastAsia" w:ascii="宋体"/>
          <w:kern w:val="0"/>
          <w:szCs w:val="20"/>
        </w:rPr>
        <w:t>和塑料薄膜袋</w:t>
      </w:r>
      <w:r>
        <w:rPr>
          <w:rFonts w:ascii="宋体"/>
          <w:kern w:val="0"/>
          <w:szCs w:val="20"/>
        </w:rPr>
        <w:t>充氧运输</w:t>
      </w:r>
      <w:r>
        <w:rPr>
          <w:rFonts w:hint="eastAsia" w:ascii="宋体"/>
          <w:kern w:val="0"/>
          <w:szCs w:val="20"/>
        </w:rPr>
        <w:t>两种方式，要求到达目的地</w:t>
      </w:r>
      <w:r>
        <w:rPr>
          <w:rFonts w:ascii="宋体"/>
          <w:kern w:val="0"/>
          <w:szCs w:val="20"/>
        </w:rPr>
        <w:t>运输</w:t>
      </w:r>
      <w:r>
        <w:rPr>
          <w:rFonts w:hint="eastAsia" w:ascii="宋体"/>
          <w:kern w:val="0"/>
          <w:szCs w:val="20"/>
        </w:rPr>
        <w:t>成活率98 %以上。</w:t>
      </w:r>
    </w:p>
    <w:p>
      <w:pPr>
        <w:pStyle w:val="38"/>
        <w:spacing w:before="156" w:after="156"/>
      </w:pPr>
      <w:r>
        <w:rPr>
          <w:rFonts w:hint="eastAsia"/>
        </w:rPr>
        <w:t>苗种放养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苗种一般从4月份开始放养，鱼苗一次性放养，虾苗（4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6）月视情况分（1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3）次放养。放养的苗种消毒后才放入池塘</w:t>
      </w:r>
      <w:r>
        <w:rPr>
          <w:rFonts w:ascii="宋体"/>
          <w:kern w:val="0"/>
          <w:szCs w:val="20"/>
        </w:rPr>
        <w:t>养殖</w:t>
      </w:r>
      <w:r>
        <w:rPr>
          <w:rFonts w:hint="eastAsia" w:ascii="宋体"/>
          <w:kern w:val="0"/>
          <w:szCs w:val="20"/>
        </w:rPr>
        <w:t>。斑节对虾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每次</w:t>
      </w:r>
      <w:r>
        <w:rPr>
          <w:rFonts w:ascii="宋体"/>
          <w:kern w:val="0"/>
          <w:szCs w:val="20"/>
        </w:rPr>
        <w:t>放养密度为</w:t>
      </w:r>
      <w:r>
        <w:rPr>
          <w:rFonts w:hint="eastAsia" w:ascii="宋体"/>
          <w:kern w:val="0"/>
          <w:szCs w:val="20"/>
        </w:rPr>
        <w:t>（15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30)×10</w:t>
      </w:r>
      <w:r>
        <w:rPr>
          <w:rFonts w:hint="eastAsia" w:ascii="宋体"/>
          <w:kern w:val="0"/>
          <w:szCs w:val="20"/>
          <w:vertAlign w:val="superscript"/>
        </w:rPr>
        <w:t xml:space="preserve">4 </w:t>
      </w:r>
      <w:r>
        <w:rPr>
          <w:rFonts w:ascii="宋体"/>
          <w:kern w:val="0"/>
          <w:szCs w:val="20"/>
        </w:rPr>
        <w:t>尾/</w:t>
      </w:r>
      <w:r>
        <w:rPr>
          <w:rFonts w:hint="eastAsia" w:ascii="宋体"/>
          <w:kern w:val="0"/>
          <w:szCs w:val="20"/>
        </w:rPr>
        <w:t>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，先放养在虾苗暂养池里，15 d左右放出暂养池；鲮鮻鱼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种</w:t>
      </w:r>
      <w:r>
        <w:rPr>
          <w:rFonts w:ascii="宋体"/>
          <w:kern w:val="0"/>
          <w:szCs w:val="20"/>
        </w:rPr>
        <w:t>放养密度为</w:t>
      </w:r>
      <w:r>
        <w:rPr>
          <w:rFonts w:hint="eastAsia" w:ascii="宋体"/>
          <w:kern w:val="0"/>
          <w:szCs w:val="20"/>
        </w:rPr>
        <w:t>（1500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3000）</w:t>
      </w:r>
      <w:r>
        <w:rPr>
          <w:rFonts w:ascii="宋体"/>
          <w:kern w:val="0"/>
          <w:szCs w:val="20"/>
        </w:rPr>
        <w:t>尾/</w:t>
      </w:r>
      <w:r>
        <w:rPr>
          <w:rFonts w:hint="eastAsia" w:ascii="宋体"/>
          <w:kern w:val="0"/>
          <w:szCs w:val="20"/>
        </w:rPr>
        <w:t xml:space="preserve"> 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，鲻鱼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种</w:t>
      </w:r>
      <w:r>
        <w:rPr>
          <w:rFonts w:ascii="宋体"/>
          <w:kern w:val="0"/>
          <w:szCs w:val="20"/>
        </w:rPr>
        <w:t>放养密度为</w:t>
      </w:r>
      <w:r>
        <w:rPr>
          <w:rFonts w:hint="eastAsia" w:ascii="宋体"/>
          <w:kern w:val="0"/>
          <w:szCs w:val="20"/>
        </w:rPr>
        <w:t>（450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750）</w:t>
      </w:r>
      <w:r>
        <w:rPr>
          <w:rFonts w:ascii="宋体"/>
          <w:kern w:val="0"/>
          <w:szCs w:val="20"/>
        </w:rPr>
        <w:t>尾/</w:t>
      </w:r>
      <w:r>
        <w:rPr>
          <w:rFonts w:hint="eastAsia" w:ascii="宋体"/>
          <w:kern w:val="0"/>
          <w:szCs w:val="20"/>
        </w:rPr>
        <w:t>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，黄鳍鲷鱼</w:t>
      </w:r>
      <w:r>
        <w:rPr>
          <w:rFonts w:ascii="宋体"/>
          <w:kern w:val="0"/>
          <w:szCs w:val="20"/>
        </w:rPr>
        <w:t>苗放养密度为</w:t>
      </w:r>
      <w:r>
        <w:rPr>
          <w:rFonts w:hint="eastAsia" w:ascii="宋体"/>
          <w:kern w:val="0"/>
          <w:szCs w:val="20"/>
        </w:rPr>
        <w:t>（75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150）×10</w:t>
      </w:r>
      <w:r>
        <w:rPr>
          <w:rFonts w:hint="eastAsia" w:ascii="宋体"/>
          <w:kern w:val="0"/>
          <w:szCs w:val="20"/>
          <w:vertAlign w:val="superscript"/>
        </w:rPr>
        <w:t xml:space="preserve">4 </w:t>
      </w:r>
      <w:r>
        <w:rPr>
          <w:rFonts w:ascii="宋体"/>
          <w:kern w:val="0"/>
          <w:szCs w:val="20"/>
        </w:rPr>
        <w:t>尾/</w:t>
      </w:r>
      <w:r>
        <w:rPr>
          <w:rFonts w:hint="eastAsia" w:ascii="宋体"/>
          <w:kern w:val="0"/>
          <w:szCs w:val="20"/>
        </w:rPr>
        <w:t>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，花尾胡椒鲷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种</w:t>
      </w:r>
      <w:r>
        <w:rPr>
          <w:rFonts w:ascii="宋体"/>
          <w:kern w:val="0"/>
          <w:szCs w:val="20"/>
        </w:rPr>
        <w:t>放养密度为</w:t>
      </w:r>
      <w:r>
        <w:rPr>
          <w:rFonts w:hint="eastAsia" w:ascii="宋体"/>
          <w:kern w:val="0"/>
          <w:szCs w:val="20"/>
        </w:rPr>
        <w:t>（450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 xml:space="preserve">750） </w:t>
      </w:r>
      <w:r>
        <w:rPr>
          <w:rFonts w:ascii="宋体"/>
          <w:kern w:val="0"/>
          <w:szCs w:val="20"/>
        </w:rPr>
        <w:t>尾/</w:t>
      </w:r>
      <w:r>
        <w:rPr>
          <w:rFonts w:hint="eastAsia" w:ascii="宋体"/>
          <w:kern w:val="0"/>
          <w:szCs w:val="20"/>
        </w:rPr>
        <w:t>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，青蟹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种春季</w:t>
      </w:r>
      <w:r>
        <w:rPr>
          <w:rFonts w:ascii="宋体"/>
          <w:kern w:val="0"/>
          <w:szCs w:val="20"/>
        </w:rPr>
        <w:t>放养密度为</w:t>
      </w:r>
      <w:r>
        <w:rPr>
          <w:rFonts w:hint="eastAsia" w:ascii="宋体"/>
          <w:kern w:val="0"/>
          <w:szCs w:val="20"/>
        </w:rPr>
        <w:t>（1500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3000）只</w:t>
      </w:r>
      <w:r>
        <w:rPr>
          <w:rFonts w:ascii="宋体"/>
          <w:kern w:val="0"/>
          <w:szCs w:val="20"/>
        </w:rPr>
        <w:t>/</w:t>
      </w:r>
      <w:r>
        <w:rPr>
          <w:rFonts w:hint="eastAsia" w:ascii="宋体"/>
          <w:kern w:val="0"/>
          <w:szCs w:val="20"/>
        </w:rPr>
        <w:t>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、夏季</w:t>
      </w:r>
      <w:r>
        <w:rPr>
          <w:rFonts w:ascii="宋体"/>
          <w:kern w:val="0"/>
          <w:szCs w:val="20"/>
        </w:rPr>
        <w:t>放养密度为</w:t>
      </w:r>
      <w:r>
        <w:rPr>
          <w:rFonts w:hint="eastAsia" w:ascii="宋体"/>
          <w:kern w:val="0"/>
          <w:szCs w:val="20"/>
        </w:rPr>
        <w:t>（4500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/>
          <w:kern w:val="0"/>
          <w:szCs w:val="20"/>
        </w:rPr>
        <w:t>7500）只</w:t>
      </w:r>
      <w:r>
        <w:rPr>
          <w:rFonts w:ascii="宋体"/>
          <w:kern w:val="0"/>
          <w:szCs w:val="20"/>
        </w:rPr>
        <w:t>/</w:t>
      </w:r>
      <w:r>
        <w:rPr>
          <w:rFonts w:hint="eastAsia" w:ascii="宋体"/>
          <w:kern w:val="0"/>
          <w:szCs w:val="20"/>
        </w:rPr>
        <w:t>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。</w:t>
      </w:r>
    </w:p>
    <w:p>
      <w:pPr>
        <w:pStyle w:val="41"/>
        <w:spacing w:before="312" w:after="312"/>
      </w:pPr>
      <w:r>
        <w:rPr>
          <w:rFonts w:hint="eastAsia"/>
        </w:rPr>
        <w:t>养殖管理</w:t>
      </w:r>
    </w:p>
    <w:p>
      <w:pPr>
        <w:pStyle w:val="38"/>
        <w:spacing w:before="156" w:after="156"/>
      </w:pPr>
      <w:r>
        <w:rPr>
          <w:rFonts w:hint="eastAsia"/>
        </w:rPr>
        <w:t>饲料</w:t>
      </w:r>
    </w:p>
    <w:p>
      <w:pPr>
        <w:pStyle w:val="42"/>
        <w:spacing w:before="156" w:after="156"/>
      </w:pPr>
      <w:r>
        <w:rPr>
          <w:rFonts w:hint="eastAsia"/>
        </w:rPr>
        <w:t>饲料种类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饲</w:t>
      </w:r>
      <w:r>
        <w:rPr>
          <w:rFonts w:hint="eastAsia" w:ascii="宋体" w:cs="黑体"/>
          <w:kern w:val="0"/>
          <w:szCs w:val="20"/>
        </w:rPr>
        <w:t>料</w:t>
      </w:r>
      <w:r>
        <w:rPr>
          <w:rFonts w:ascii="宋体"/>
          <w:kern w:val="0"/>
          <w:szCs w:val="20"/>
        </w:rPr>
        <w:t>应符合GB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13078和NY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5072的规定。</w:t>
      </w:r>
      <w:r>
        <w:rPr>
          <w:rFonts w:hint="eastAsia" w:ascii="宋体"/>
          <w:kern w:val="0"/>
          <w:szCs w:val="20"/>
        </w:rPr>
        <w:t>虾</w:t>
      </w:r>
      <w:r>
        <w:rPr>
          <w:rFonts w:ascii="宋体"/>
          <w:kern w:val="0"/>
          <w:szCs w:val="20"/>
        </w:rPr>
        <w:t>苗</w:t>
      </w:r>
      <w:r>
        <w:rPr>
          <w:rFonts w:hint="eastAsia" w:ascii="宋体"/>
          <w:kern w:val="0"/>
          <w:szCs w:val="20"/>
        </w:rPr>
        <w:t>暂</w:t>
      </w:r>
      <w:r>
        <w:rPr>
          <w:rFonts w:ascii="宋体"/>
          <w:kern w:val="0"/>
          <w:szCs w:val="20"/>
        </w:rPr>
        <w:t>养</w:t>
      </w:r>
      <w:r>
        <w:rPr>
          <w:rFonts w:hint="eastAsia" w:ascii="宋体"/>
          <w:kern w:val="0"/>
          <w:szCs w:val="20"/>
        </w:rPr>
        <w:t>时</w:t>
      </w:r>
      <w:r>
        <w:rPr>
          <w:rFonts w:ascii="宋体"/>
          <w:kern w:val="0"/>
          <w:szCs w:val="20"/>
        </w:rPr>
        <w:t>投喂</w:t>
      </w:r>
      <w:r>
        <w:rPr>
          <w:rFonts w:hint="eastAsia" w:ascii="宋体"/>
          <w:kern w:val="0"/>
          <w:szCs w:val="20"/>
        </w:rPr>
        <w:t>幼虾</w:t>
      </w:r>
      <w:r>
        <w:rPr>
          <w:rFonts w:ascii="宋体"/>
          <w:kern w:val="0"/>
          <w:szCs w:val="20"/>
        </w:rPr>
        <w:t>饲</w:t>
      </w:r>
      <w:r>
        <w:rPr>
          <w:rFonts w:hint="eastAsia" w:ascii="宋体"/>
          <w:kern w:val="0"/>
          <w:szCs w:val="20"/>
        </w:rPr>
        <w:t>料，放出暂养池后投</w:t>
      </w:r>
      <w:r>
        <w:rPr>
          <w:rFonts w:ascii="宋体"/>
          <w:kern w:val="0"/>
          <w:szCs w:val="20"/>
        </w:rPr>
        <w:t>喂</w:t>
      </w:r>
      <w:r>
        <w:rPr>
          <w:rFonts w:hint="eastAsia" w:ascii="宋体"/>
          <w:kern w:val="0"/>
          <w:szCs w:val="20"/>
        </w:rPr>
        <w:t>鱼虾混养</w:t>
      </w:r>
      <w:r>
        <w:rPr>
          <w:rFonts w:ascii="宋体"/>
          <w:kern w:val="0"/>
          <w:szCs w:val="20"/>
        </w:rPr>
        <w:t>配合饲料</w:t>
      </w:r>
      <w:r>
        <w:rPr>
          <w:rFonts w:hint="eastAsia" w:ascii="宋体"/>
          <w:kern w:val="0"/>
          <w:szCs w:val="20"/>
        </w:rPr>
        <w:t>；每天可投</w:t>
      </w:r>
      <w:r>
        <w:rPr>
          <w:rFonts w:ascii="宋体"/>
          <w:kern w:val="0"/>
          <w:szCs w:val="20"/>
        </w:rPr>
        <w:t>喂</w:t>
      </w:r>
      <w:r>
        <w:rPr>
          <w:rFonts w:hint="eastAsia" w:ascii="宋体"/>
          <w:kern w:val="0"/>
          <w:szCs w:val="20"/>
        </w:rPr>
        <w:t>适量红肉蓝蛤。</w:t>
      </w:r>
      <w:r>
        <w:rPr>
          <w:rFonts w:ascii="宋体"/>
          <w:kern w:val="0"/>
          <w:szCs w:val="20"/>
        </w:rPr>
        <w:t xml:space="preserve"> </w:t>
      </w:r>
    </w:p>
    <w:p>
      <w:pPr>
        <w:pStyle w:val="42"/>
        <w:spacing w:before="156" w:after="156"/>
      </w:pPr>
      <w:r>
        <w:rPr>
          <w:rFonts w:hint="eastAsia"/>
        </w:rPr>
        <w:t>投喂</w:t>
      </w:r>
    </w:p>
    <w:p>
      <w:pPr>
        <w:pStyle w:val="47"/>
        <w:spacing w:before="156" w:after="156"/>
      </w:pPr>
      <w:r>
        <w:rPr>
          <w:rFonts w:hint="eastAsia"/>
        </w:rPr>
        <w:t>投饲量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投饲量以斑节对虾为基准。</w:t>
      </w:r>
      <w:r>
        <w:rPr>
          <w:rFonts w:ascii="宋体"/>
          <w:kern w:val="0"/>
          <w:szCs w:val="20"/>
        </w:rPr>
        <w:t>在</w:t>
      </w:r>
      <w:r>
        <w:rPr>
          <w:rFonts w:hint="eastAsia" w:ascii="宋体"/>
          <w:kern w:val="0"/>
          <w:szCs w:val="20"/>
        </w:rPr>
        <w:t>虾</w:t>
      </w:r>
      <w:r>
        <w:rPr>
          <w:rFonts w:ascii="宋体"/>
          <w:kern w:val="0"/>
          <w:szCs w:val="20"/>
        </w:rPr>
        <w:t>苗投放后第二天开始投喂。水温2</w:t>
      </w:r>
      <w:r>
        <w:rPr>
          <w:rFonts w:hint="eastAsia" w:ascii="宋体"/>
          <w:kern w:val="0"/>
          <w:szCs w:val="20"/>
        </w:rPr>
        <w:t xml:space="preserve">5 </w:t>
      </w:r>
      <w:r>
        <w:rPr>
          <w:rFonts w:hint="eastAsia" w:ascii="宋体" w:hAnsi="宋体" w:cs="宋体"/>
          <w:kern w:val="0"/>
          <w:szCs w:val="20"/>
        </w:rPr>
        <w:t>℃</w:t>
      </w:r>
      <w:r>
        <w:rPr>
          <w:rFonts w:ascii="宋体"/>
          <w:kern w:val="0"/>
          <w:szCs w:val="20"/>
        </w:rPr>
        <w:t>左右时，日投喂量为</w:t>
      </w:r>
      <w:r>
        <w:rPr>
          <w:rFonts w:hint="eastAsia" w:ascii="宋体"/>
          <w:kern w:val="0"/>
          <w:szCs w:val="20"/>
        </w:rPr>
        <w:t>虾</w:t>
      </w:r>
      <w:r>
        <w:rPr>
          <w:rFonts w:ascii="宋体"/>
          <w:kern w:val="0"/>
          <w:szCs w:val="20"/>
        </w:rPr>
        <w:t>体重的4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/>
          <w:kern w:val="0"/>
          <w:szCs w:val="20"/>
        </w:rPr>
        <w:t>%</w:t>
      </w:r>
      <w:r>
        <w:rPr>
          <w:rFonts w:ascii="宋体"/>
          <w:kern w:val="0"/>
          <w:szCs w:val="20"/>
        </w:rPr>
        <w:t>～5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/>
          <w:kern w:val="0"/>
          <w:szCs w:val="20"/>
        </w:rPr>
        <w:t>%</w:t>
      </w:r>
      <w:r>
        <w:rPr>
          <w:rFonts w:ascii="宋体"/>
          <w:kern w:val="0"/>
          <w:szCs w:val="20"/>
        </w:rPr>
        <w:t>，水温25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 w:cs="宋体"/>
          <w:kern w:val="0"/>
          <w:szCs w:val="20"/>
        </w:rPr>
        <w:t>℃</w:t>
      </w:r>
      <w:r>
        <w:rPr>
          <w:rFonts w:ascii="宋体"/>
          <w:kern w:val="0"/>
          <w:szCs w:val="20"/>
        </w:rPr>
        <w:t>以上，日投饵量为</w:t>
      </w:r>
      <w:r>
        <w:rPr>
          <w:rFonts w:hint="eastAsia" w:ascii="宋体"/>
          <w:kern w:val="0"/>
          <w:szCs w:val="20"/>
        </w:rPr>
        <w:t>虾</w:t>
      </w:r>
      <w:r>
        <w:rPr>
          <w:rFonts w:ascii="宋体"/>
          <w:kern w:val="0"/>
          <w:szCs w:val="20"/>
        </w:rPr>
        <w:t>体重的6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/>
          <w:kern w:val="0"/>
          <w:szCs w:val="20"/>
        </w:rPr>
        <w:t>%</w:t>
      </w:r>
      <w:r>
        <w:rPr>
          <w:rFonts w:ascii="宋体"/>
          <w:kern w:val="0"/>
          <w:szCs w:val="20"/>
        </w:rPr>
        <w:t>～7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/>
          <w:kern w:val="0"/>
          <w:szCs w:val="20"/>
        </w:rPr>
        <w:t>%</w:t>
      </w:r>
      <w:r>
        <w:rPr>
          <w:rFonts w:ascii="宋体"/>
          <w:kern w:val="0"/>
          <w:szCs w:val="20"/>
        </w:rPr>
        <w:t>。主要根据</w:t>
      </w:r>
      <w:r>
        <w:rPr>
          <w:rFonts w:hint="eastAsia" w:ascii="宋体"/>
          <w:kern w:val="0"/>
          <w:szCs w:val="20"/>
        </w:rPr>
        <w:t>虾</w:t>
      </w:r>
      <w:r>
        <w:rPr>
          <w:rFonts w:ascii="宋体"/>
          <w:kern w:val="0"/>
          <w:szCs w:val="20"/>
        </w:rPr>
        <w:t>的摄食情况、水质状况和天气的变化来决定投饵量，低温阴雨天气少投饵，晴天多投饵；高温闷热天气适度控制投饵量。</w:t>
      </w:r>
    </w:p>
    <w:p>
      <w:pPr>
        <w:pStyle w:val="47"/>
        <w:spacing w:before="156" w:after="156"/>
      </w:pPr>
      <w:r>
        <w:rPr>
          <w:rFonts w:hint="eastAsia"/>
        </w:rPr>
        <w:t>投饲时间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正常情况下，日投喂2次。阴雨天</w:t>
      </w:r>
      <w:r>
        <w:rPr>
          <w:rFonts w:hint="eastAsia" w:ascii="宋体"/>
          <w:kern w:val="0"/>
          <w:szCs w:val="20"/>
        </w:rPr>
        <w:t>或</w:t>
      </w:r>
      <w:r>
        <w:rPr>
          <w:rFonts w:ascii="宋体"/>
          <w:kern w:val="0"/>
          <w:szCs w:val="20"/>
        </w:rPr>
        <w:t>水温低于</w:t>
      </w:r>
      <w:r>
        <w:rPr>
          <w:rFonts w:hint="eastAsia" w:ascii="宋体"/>
          <w:kern w:val="0"/>
          <w:szCs w:val="20"/>
        </w:rPr>
        <w:t xml:space="preserve">22 </w:t>
      </w:r>
      <w:r>
        <w:rPr>
          <w:rFonts w:hint="eastAsia" w:ascii="宋体" w:hAnsi="宋体" w:cs="宋体"/>
          <w:kern w:val="0"/>
          <w:szCs w:val="20"/>
        </w:rPr>
        <w:t>℃</w:t>
      </w:r>
      <w:r>
        <w:rPr>
          <w:rFonts w:ascii="宋体"/>
          <w:kern w:val="0"/>
          <w:szCs w:val="20"/>
        </w:rPr>
        <w:t>以下</w:t>
      </w:r>
      <w:r>
        <w:rPr>
          <w:rFonts w:hint="eastAsia" w:ascii="宋体"/>
          <w:kern w:val="0"/>
          <w:szCs w:val="20"/>
        </w:rPr>
        <w:t>少投或</w:t>
      </w:r>
      <w:r>
        <w:rPr>
          <w:rFonts w:ascii="宋体"/>
          <w:kern w:val="0"/>
          <w:szCs w:val="20"/>
        </w:rPr>
        <w:t>不投饲</w:t>
      </w:r>
      <w:r>
        <w:rPr>
          <w:rFonts w:hint="eastAsia" w:ascii="宋体"/>
          <w:kern w:val="0"/>
          <w:szCs w:val="20"/>
        </w:rPr>
        <w:t>。</w:t>
      </w:r>
    </w:p>
    <w:p>
      <w:pPr>
        <w:pStyle w:val="47"/>
        <w:spacing w:before="156" w:after="156"/>
        <w:rPr>
          <w:rFonts w:hAnsi="黑体" w:cs="黑体"/>
        </w:rPr>
      </w:pPr>
      <w:r>
        <w:rPr>
          <w:rFonts w:hint="eastAsia" w:hAnsi="黑体" w:cs="黑体"/>
        </w:rPr>
        <w:t>投喂方法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配合</w:t>
      </w:r>
      <w:r>
        <w:rPr>
          <w:rFonts w:ascii="宋体"/>
          <w:kern w:val="0"/>
          <w:szCs w:val="20"/>
        </w:rPr>
        <w:t>饵料</w:t>
      </w:r>
      <w:r>
        <w:rPr>
          <w:rFonts w:hint="eastAsia" w:ascii="宋体"/>
          <w:kern w:val="0"/>
          <w:szCs w:val="20"/>
        </w:rPr>
        <w:t xml:space="preserve">全池均匀泼洒。 </w:t>
      </w:r>
    </w:p>
    <w:p>
      <w:pPr>
        <w:pStyle w:val="38"/>
        <w:spacing w:before="156" w:after="156"/>
      </w:pPr>
      <w:r>
        <w:rPr>
          <w:rFonts w:hint="eastAsia"/>
        </w:rPr>
        <w:t>水质调控</w:t>
      </w:r>
    </w:p>
    <w:p>
      <w:pPr>
        <w:pStyle w:val="42"/>
        <w:spacing w:before="156" w:after="156"/>
      </w:pPr>
      <w:r>
        <w:rPr>
          <w:rFonts w:hint="eastAsia"/>
        </w:rPr>
        <w:t>养殖前期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水色调控为清爽绿色或</w:t>
      </w:r>
      <w:r>
        <w:rPr>
          <w:rFonts w:hint="eastAsia" w:ascii="宋体" w:hAnsi="宋体"/>
          <w:kern w:val="0"/>
          <w:szCs w:val="20"/>
        </w:rPr>
        <w:t>浅茶褐色</w:t>
      </w:r>
      <w:r>
        <w:rPr>
          <w:rFonts w:hint="eastAsia" w:ascii="宋体" w:hAnsi="宋体" w:cs="宋体"/>
          <w:kern w:val="0"/>
          <w:szCs w:val="21"/>
        </w:rPr>
        <w:t>，透明度保持（35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 w:hAnsi="宋体" w:cs="宋体"/>
          <w:kern w:val="0"/>
          <w:szCs w:val="21"/>
        </w:rPr>
        <w:t>45）cm左右。pH值控制在8.2</w:t>
      </w:r>
      <w:r>
        <w:rPr>
          <w:rFonts w:ascii="宋体"/>
          <w:kern w:val="0"/>
          <w:szCs w:val="20"/>
        </w:rPr>
        <w:t>～</w:t>
      </w:r>
      <w:r>
        <w:rPr>
          <w:rFonts w:hint="eastAsia" w:ascii="宋体" w:hAnsi="宋体" w:cs="宋体"/>
          <w:kern w:val="0"/>
          <w:szCs w:val="21"/>
        </w:rPr>
        <w:t>8.8，每隔15 d接种泼洒芽孢杆菌等</w:t>
      </w:r>
      <w:r>
        <w:rPr>
          <w:rFonts w:hint="eastAsia" w:ascii="宋体" w:hAnsi="宋体"/>
          <w:kern w:val="0"/>
          <w:szCs w:val="20"/>
        </w:rPr>
        <w:t>微生态制剂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42"/>
        <w:spacing w:before="156" w:after="156"/>
      </w:pPr>
      <w:r>
        <w:rPr>
          <w:rFonts w:hint="eastAsia"/>
        </w:rPr>
        <w:t>养殖中后期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随着投饵量的增加，每晚定时开动增氧机增氧，根据水质变化情况，白天适时开动增氧机增氧。每隔15 d适量投放沸石粉、微生态制剂(芽孢杆菌)等调节和改善水质。</w:t>
      </w:r>
    </w:p>
    <w:p>
      <w:pPr>
        <w:pStyle w:val="38"/>
        <w:spacing w:before="156" w:after="156"/>
      </w:pPr>
      <w:r>
        <w:rPr>
          <w:rFonts w:hint="eastAsia"/>
        </w:rPr>
        <w:t>日常管理</w:t>
      </w:r>
    </w:p>
    <w:p>
      <w:pPr>
        <w:pStyle w:val="42"/>
        <w:spacing w:before="156" w:after="156"/>
      </w:pPr>
      <w:r>
        <w:rPr>
          <w:rFonts w:hint="eastAsia"/>
        </w:rPr>
        <w:t>水质监测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每天定时测定溶解氧、水温、透明度、比重、pH值，每周测定氨氮、亚硝酸盐、磷酸盐等指标，并做好记录。</w:t>
      </w:r>
    </w:p>
    <w:p>
      <w:pPr>
        <w:pStyle w:val="42"/>
        <w:spacing w:before="156" w:after="156"/>
        <w:rPr>
          <w:rFonts w:hAnsi="宋体"/>
        </w:rPr>
      </w:pPr>
      <w:r>
        <w:rPr>
          <w:rFonts w:hint="eastAsia" w:hAnsi="宋体"/>
        </w:rPr>
        <w:t>巡塘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spacing w:val="8"/>
          <w:kern w:val="0"/>
          <w:szCs w:val="20"/>
        </w:rPr>
      </w:pPr>
      <w:r>
        <w:rPr>
          <w:rFonts w:hint="eastAsia" w:ascii="宋体"/>
          <w:kern w:val="0"/>
          <w:szCs w:val="20"/>
        </w:rPr>
        <w:t>每天至少两次巡塘，观察鱼虾活动情况</w:t>
      </w:r>
      <w:r>
        <w:rPr>
          <w:rFonts w:hint="eastAsia" w:ascii="宋体"/>
          <w:spacing w:val="8"/>
          <w:kern w:val="0"/>
          <w:szCs w:val="20"/>
        </w:rPr>
        <w:t>。</w:t>
      </w:r>
    </w:p>
    <w:p>
      <w:pPr>
        <w:pStyle w:val="42"/>
        <w:spacing w:before="156" w:after="156"/>
      </w:pPr>
      <w:r>
        <w:rPr>
          <w:rFonts w:hint="eastAsia"/>
        </w:rPr>
        <w:t>生产记录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做好养殖生产、饲料使用、渔用药物使用、销售等记录。</w:t>
      </w:r>
    </w:p>
    <w:p>
      <w:pPr>
        <w:pStyle w:val="41"/>
        <w:spacing w:before="312" w:after="312"/>
      </w:pPr>
      <w:r>
        <w:rPr>
          <w:rFonts w:hint="eastAsia"/>
        </w:rPr>
        <w:t>病害防治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鱼</w:t>
      </w:r>
      <w:r>
        <w:rPr>
          <w:rFonts w:hint="eastAsia" w:asciiTheme="minorEastAsia" w:hAnsiTheme="minorEastAsia" w:eastAsiaTheme="minorEastAsia"/>
        </w:rPr>
        <w:t>虾</w:t>
      </w:r>
      <w:r>
        <w:rPr>
          <w:rFonts w:asciiTheme="minorEastAsia" w:hAnsiTheme="minorEastAsia" w:eastAsiaTheme="minorEastAsia"/>
        </w:rPr>
        <w:t>病防治实行</w:t>
      </w:r>
      <w:r>
        <w:rPr>
          <w:rFonts w:hint="eastAsia" w:asciiTheme="minorEastAsia" w:hAnsiTheme="minorEastAsia" w:eastAsiaTheme="minorEastAsia"/>
        </w:rPr>
        <w:t>“</w:t>
      </w:r>
      <w:r>
        <w:rPr>
          <w:rFonts w:asciiTheme="minorEastAsia" w:hAnsiTheme="minorEastAsia" w:eastAsiaTheme="minorEastAsia"/>
        </w:rPr>
        <w:t>以防为主，防治结合</w:t>
      </w:r>
      <w:r>
        <w:rPr>
          <w:rFonts w:hint="eastAsia" w:asciiTheme="minorEastAsia" w:hAnsiTheme="minorEastAsia" w:eastAsiaTheme="minorEastAsia"/>
        </w:rPr>
        <w:t>”</w:t>
      </w:r>
      <w:r>
        <w:rPr>
          <w:rFonts w:asciiTheme="minorEastAsia" w:hAnsiTheme="minorEastAsia" w:eastAsiaTheme="minorEastAsia"/>
        </w:rPr>
        <w:t>的原则。</w:t>
      </w:r>
      <w:r>
        <w:rPr>
          <w:rFonts w:hint="eastAsia" w:asciiTheme="minorEastAsia" w:hAnsiTheme="minorEastAsia" w:eastAsiaTheme="minorEastAsia"/>
        </w:rPr>
        <w:t>使用药物要符合NY 5071的规定。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对虾的病害主要是病毒性疾病，只能靠保持水环境稳定，尽可能减少应激反应等措施，进行预防。</w:t>
      </w:r>
      <w:r>
        <w:rPr>
          <w:rFonts w:asciiTheme="minorEastAsia" w:hAnsiTheme="minorEastAsia" w:eastAsiaTheme="minorEastAsia"/>
        </w:rPr>
        <w:t>在病害流行季节做好疾病预防工作，定期施放</w:t>
      </w:r>
      <w:r>
        <w:rPr>
          <w:rFonts w:hint="eastAsia" w:asciiTheme="minorEastAsia" w:hAnsiTheme="minorEastAsia" w:eastAsiaTheme="minorEastAsia"/>
        </w:rPr>
        <w:t>微生态制剂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沸</w:t>
      </w:r>
      <w:r>
        <w:rPr>
          <w:rFonts w:asciiTheme="minorEastAsia" w:hAnsiTheme="minorEastAsia" w:eastAsiaTheme="minorEastAsia"/>
        </w:rPr>
        <w:t>石粉以保持良好水质，中后期每</w:t>
      </w:r>
      <w:r>
        <w:rPr>
          <w:rFonts w:hint="eastAsia" w:asciiTheme="minorEastAsia" w:hAnsiTheme="minorEastAsia" w:eastAsiaTheme="minorEastAsia"/>
        </w:rPr>
        <w:t>（</w:t>
      </w:r>
      <w:r>
        <w:rPr>
          <w:rFonts w:asciiTheme="minorEastAsia" w:hAnsiTheme="minorEastAsia" w:eastAsiaTheme="minorEastAsia"/>
        </w:rPr>
        <w:t>3～5</w:t>
      </w:r>
      <w:r>
        <w:rPr>
          <w:rFonts w:hint="eastAsia" w:asciiTheme="minorEastAsia" w:hAnsiTheme="minorEastAsia" w:eastAsiaTheme="minorEastAsia"/>
        </w:rPr>
        <w:t>）d</w:t>
      </w:r>
      <w:r>
        <w:rPr>
          <w:rFonts w:asciiTheme="minorEastAsia" w:hAnsiTheme="minorEastAsia" w:eastAsiaTheme="minorEastAsia"/>
        </w:rPr>
        <w:t>用维生素C、大蒜素拌料投喂</w:t>
      </w:r>
      <w:r>
        <w:rPr>
          <w:rFonts w:hint="eastAsia" w:asciiTheme="minorEastAsia" w:hAnsiTheme="minorEastAsia" w:eastAsiaTheme="minorEastAsia"/>
        </w:rPr>
        <w:t>，提高对虾抗病能力</w:t>
      </w:r>
      <w:r>
        <w:rPr>
          <w:rFonts w:asciiTheme="minorEastAsia" w:hAnsiTheme="minorEastAsia" w:eastAsiaTheme="minorEastAsia"/>
        </w:rPr>
        <w:t>。</w:t>
      </w:r>
    </w:p>
    <w:p>
      <w:pPr>
        <w:pStyle w:val="41"/>
        <w:spacing w:before="312" w:after="312"/>
      </w:pPr>
      <w:r>
        <w:rPr>
          <w:rFonts w:hint="eastAsia"/>
        </w:rPr>
        <w:t>收获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从6月份开始，</w:t>
      </w:r>
      <w:r>
        <w:rPr>
          <w:rFonts w:hint="eastAsia" w:ascii="宋体" w:cs="宋体"/>
          <w:kern w:val="0"/>
          <w:szCs w:val="21"/>
        </w:rPr>
        <w:t>对虾</w:t>
      </w:r>
      <w:r>
        <w:rPr>
          <w:rFonts w:ascii="宋体" w:cs="宋体"/>
          <w:kern w:val="0"/>
          <w:szCs w:val="21"/>
        </w:rPr>
        <w:t>体重达到</w:t>
      </w:r>
      <w:r>
        <w:rPr>
          <w:rFonts w:hint="eastAsia" w:ascii="宋体" w:cs="宋体"/>
          <w:kern w:val="0"/>
          <w:szCs w:val="21"/>
        </w:rPr>
        <w:t>1</w:t>
      </w:r>
      <w:r>
        <w:rPr>
          <w:rFonts w:hint="eastAsia" w:ascii="宋体"/>
          <w:kern w:val="0"/>
          <w:szCs w:val="21"/>
        </w:rPr>
        <w:t xml:space="preserve">8 </w:t>
      </w:r>
      <w:r>
        <w:rPr>
          <w:rFonts w:hint="eastAsia" w:ascii="宋体" w:cs="宋体"/>
          <w:kern w:val="0"/>
          <w:szCs w:val="21"/>
        </w:rPr>
        <w:t>g</w:t>
      </w:r>
      <w:r>
        <w:rPr>
          <w:rFonts w:ascii="宋体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尾</w:t>
      </w:r>
      <w:r>
        <w:rPr>
          <w:rFonts w:hint="eastAsia" w:ascii="宋体" w:cs="宋体"/>
          <w:kern w:val="0"/>
          <w:szCs w:val="21"/>
        </w:rPr>
        <w:t>以上</w:t>
      </w:r>
      <w:r>
        <w:rPr>
          <w:rFonts w:ascii="宋体" w:cs="宋体"/>
          <w:kern w:val="0"/>
          <w:szCs w:val="21"/>
        </w:rPr>
        <w:t>的规格</w:t>
      </w:r>
      <w:r>
        <w:rPr>
          <w:rFonts w:hint="eastAsia" w:ascii="宋体" w:cs="宋体"/>
          <w:kern w:val="0"/>
          <w:szCs w:val="21"/>
        </w:rPr>
        <w:t>，</w:t>
      </w:r>
      <w:r>
        <w:rPr>
          <w:rFonts w:hint="eastAsia" w:ascii="宋体"/>
          <w:kern w:val="0"/>
          <w:szCs w:val="20"/>
        </w:rPr>
        <w:t>可用笼网每天</w:t>
      </w:r>
      <w:r>
        <w:rPr>
          <w:rFonts w:ascii="宋体" w:cs="宋体"/>
          <w:kern w:val="0"/>
          <w:szCs w:val="21"/>
        </w:rPr>
        <w:t>捕捞</w:t>
      </w:r>
      <w:r>
        <w:rPr>
          <w:rFonts w:hint="eastAsia" w:ascii="宋体"/>
          <w:kern w:val="0"/>
          <w:szCs w:val="20"/>
        </w:rPr>
        <w:t>；其它鱼类至年底用拉网或干塘</w:t>
      </w:r>
      <w:r>
        <w:rPr>
          <w:rFonts w:ascii="宋体" w:cs="宋体"/>
          <w:kern w:val="0"/>
          <w:szCs w:val="21"/>
        </w:rPr>
        <w:t>捕捞</w:t>
      </w:r>
      <w:r>
        <w:rPr>
          <w:rFonts w:hint="eastAsia" w:ascii="宋体"/>
          <w:kern w:val="0"/>
          <w:szCs w:val="20"/>
        </w:rPr>
        <w:t>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9375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</w:rPr>
      <w:t>215</w:t>
    </w:r>
    <w:r>
      <w:t>—2019</w:t>
    </w:r>
    <w:bookmarkStart w:id="13" w:name="_GoBack"/>
    <w:bookmarkEnd w:id="1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215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786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2A2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4A7C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3FB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1C42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360C"/>
    <w:rsid w:val="007913AB"/>
    <w:rsid w:val="007914F7"/>
    <w:rsid w:val="00792DB0"/>
    <w:rsid w:val="00794D4A"/>
    <w:rsid w:val="00795C73"/>
    <w:rsid w:val="0079697B"/>
    <w:rsid w:val="007A4809"/>
    <w:rsid w:val="007A6FB1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56822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3720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41D7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3064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E4B44"/>
    <w:rsid w:val="00CE6128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064B"/>
    <w:rsid w:val="00D114E9"/>
    <w:rsid w:val="00D17CD8"/>
    <w:rsid w:val="00D213B2"/>
    <w:rsid w:val="00D2527C"/>
    <w:rsid w:val="00D30C72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0376"/>
    <w:rsid w:val="00E21B55"/>
    <w:rsid w:val="00E221D3"/>
    <w:rsid w:val="00E224DC"/>
    <w:rsid w:val="00E228C8"/>
    <w:rsid w:val="00E240FF"/>
    <w:rsid w:val="00E24EB4"/>
    <w:rsid w:val="00E25E4C"/>
    <w:rsid w:val="00E268A5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56D3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47B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0F225136"/>
    <w:rsid w:val="13116456"/>
    <w:rsid w:val="2B985A41"/>
    <w:rsid w:val="62796F6F"/>
    <w:rsid w:val="64743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23E80"/>
    <w:rsid w:val="003278EA"/>
    <w:rsid w:val="003372E5"/>
    <w:rsid w:val="003750AF"/>
    <w:rsid w:val="00430F92"/>
    <w:rsid w:val="004F113A"/>
    <w:rsid w:val="004F1EC5"/>
    <w:rsid w:val="00515A81"/>
    <w:rsid w:val="005335DD"/>
    <w:rsid w:val="00550881"/>
    <w:rsid w:val="00550BBB"/>
    <w:rsid w:val="00595E09"/>
    <w:rsid w:val="005C52B2"/>
    <w:rsid w:val="00674FBA"/>
    <w:rsid w:val="006C5F55"/>
    <w:rsid w:val="006D02E4"/>
    <w:rsid w:val="007216E9"/>
    <w:rsid w:val="007C6ACB"/>
    <w:rsid w:val="007E2797"/>
    <w:rsid w:val="00800293"/>
    <w:rsid w:val="00820E7E"/>
    <w:rsid w:val="00845F8C"/>
    <w:rsid w:val="00855C4F"/>
    <w:rsid w:val="008E024D"/>
    <w:rsid w:val="008E0C17"/>
    <w:rsid w:val="008F0268"/>
    <w:rsid w:val="00902EF8"/>
    <w:rsid w:val="00982DAC"/>
    <w:rsid w:val="009B16B1"/>
    <w:rsid w:val="009C743F"/>
    <w:rsid w:val="00A94E45"/>
    <w:rsid w:val="00AD6808"/>
    <w:rsid w:val="00B07792"/>
    <w:rsid w:val="00B22E5E"/>
    <w:rsid w:val="00B717AC"/>
    <w:rsid w:val="00B75F0B"/>
    <w:rsid w:val="00BA2824"/>
    <w:rsid w:val="00BC67AA"/>
    <w:rsid w:val="00C875D2"/>
    <w:rsid w:val="00CA07D4"/>
    <w:rsid w:val="00CB0B2B"/>
    <w:rsid w:val="00D4454B"/>
    <w:rsid w:val="00D47F3E"/>
    <w:rsid w:val="00D65DD7"/>
    <w:rsid w:val="00D75CDC"/>
    <w:rsid w:val="00DA4409"/>
    <w:rsid w:val="00DB4262"/>
    <w:rsid w:val="00E857F8"/>
    <w:rsid w:val="00E95A08"/>
    <w:rsid w:val="00EA15BD"/>
    <w:rsid w:val="00EA32AC"/>
    <w:rsid w:val="00F15D61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215《海水池塘斑节对虾生态混养技术规范》.tcs</Template>
  <Company>zle</Company>
  <Pages>8</Pages>
  <Words>2278</Words>
  <Characters>703</Characters>
  <Lines>5</Lines>
  <Paragraphs>5</Paragraphs>
  <TotalTime>2</TotalTime>
  <ScaleCrop>false</ScaleCrop>
  <LinksUpToDate>false</LinksUpToDate>
  <CharactersWithSpaces>2976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2019-02-18T01:18:00Z</dcterms:created>
  <dc:creator>CNIS</dc:creator>
  <cp:lastModifiedBy>Administrator</cp:lastModifiedBy>
  <cp:lastPrinted>2019-03-20T02:13:00Z</cp:lastPrinted>
  <dcterms:modified xsi:type="dcterms:W3CDTF">2019-05-14T08:52:42Z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