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22" w:type="dxa"/>
        <w:jc w:val="center"/>
        <w:tblInd w:w="0" w:type="dxa"/>
        <w:tblLayout w:type="fixed"/>
        <w:tblCellMar>
          <w:top w:w="0" w:type="dxa"/>
          <w:left w:w="0" w:type="dxa"/>
          <w:bottom w:w="0" w:type="dxa"/>
          <w:right w:w="0" w:type="dxa"/>
        </w:tblCellMar>
      </w:tblPr>
      <w:tblGrid>
        <w:gridCol w:w="1463"/>
        <w:gridCol w:w="2690"/>
        <w:gridCol w:w="1466"/>
        <w:gridCol w:w="2903"/>
      </w:tblGrid>
      <w:tr>
        <w:tblPrEx>
          <w:tblLayout w:type="fixed"/>
          <w:tblCellMar>
            <w:top w:w="0" w:type="dxa"/>
            <w:left w:w="0" w:type="dxa"/>
            <w:bottom w:w="0" w:type="dxa"/>
            <w:right w:w="0" w:type="dxa"/>
          </w:tblCellMar>
        </w:tblPrEx>
        <w:trPr>
          <w:trHeight w:val="780" w:hRule="atLeast"/>
          <w:jc w:val="center"/>
        </w:trPr>
        <w:tc>
          <w:tcPr>
            <w:tcW w:w="8522" w:type="dxa"/>
            <w:gridSpan w:val="4"/>
            <w:tcMar>
              <w:top w:w="0" w:type="dxa"/>
              <w:left w:w="108" w:type="dxa"/>
              <w:bottom w:w="0" w:type="dxa"/>
              <w:right w:w="108" w:type="dxa"/>
            </w:tcMar>
            <w:vAlign w:val="center"/>
          </w:tcPr>
          <w:p>
            <w:pPr>
              <w:widowControl/>
              <w:jc w:val="center"/>
              <w:rPr>
                <w:rFonts w:hint="eastAsia" w:ascii="宋体" w:hAnsi="宋体" w:eastAsia="宋体" w:cs="Calibri"/>
                <w:b/>
                <w:bCs/>
                <w:color w:val="000000"/>
                <w:kern w:val="0"/>
                <w:szCs w:val="21"/>
              </w:rPr>
            </w:pPr>
            <w:bookmarkStart w:id="0" w:name="_GoBack"/>
            <w:r>
              <w:rPr>
                <w:rFonts w:hint="eastAsia" w:ascii="宋体" w:hAnsi="宋体" w:eastAsia="宋体" w:cs="Calibri"/>
                <w:b/>
                <w:bCs/>
                <w:color w:val="000000"/>
                <w:kern w:val="0"/>
                <w:szCs w:val="21"/>
              </w:rPr>
              <w:t>汕头市濠江区濠洲路（县道X053）天公岭路段改造扩建工程项目设计施工总承包</w:t>
            </w:r>
          </w:p>
          <w:p>
            <w:pPr>
              <w:widowControl/>
              <w:jc w:val="center"/>
              <w:rPr>
                <w:rFonts w:ascii="Calibri" w:hAnsi="Calibri" w:eastAsia="微软雅黑" w:cs="Calibri"/>
                <w:kern w:val="0"/>
                <w:szCs w:val="21"/>
              </w:rPr>
            </w:pPr>
            <w:r>
              <w:rPr>
                <w:rFonts w:hint="eastAsia" w:ascii="宋体" w:hAnsi="宋体" w:eastAsia="宋体" w:cs="Calibri"/>
                <w:b/>
                <w:bCs/>
                <w:color w:val="000000"/>
                <w:kern w:val="0"/>
                <w:szCs w:val="21"/>
              </w:rPr>
              <w:t>招标信息公告表</w:t>
            </w:r>
          </w:p>
        </w:tc>
      </w:tr>
      <w:bookmarkEnd w:id="0"/>
      <w:tr>
        <w:tblPrEx>
          <w:tblLayout w:type="fixed"/>
          <w:tblCellMar>
            <w:top w:w="0" w:type="dxa"/>
            <w:left w:w="0" w:type="dxa"/>
            <w:bottom w:w="0" w:type="dxa"/>
            <w:right w:w="0" w:type="dxa"/>
          </w:tblCellMar>
        </w:tblPrEx>
        <w:trPr>
          <w:trHeight w:val="480" w:hRule="atLeast"/>
          <w:jc w:val="center"/>
        </w:trPr>
        <w:tc>
          <w:tcPr>
            <w:tcW w:w="14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公告编号</w:t>
            </w:r>
          </w:p>
        </w:tc>
        <w:tc>
          <w:tcPr>
            <w:tcW w:w="26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汕濠公资交公[2019]35号</w:t>
            </w:r>
          </w:p>
        </w:tc>
        <w:tc>
          <w:tcPr>
            <w:tcW w:w="14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工程编号</w:t>
            </w:r>
          </w:p>
        </w:tc>
        <w:tc>
          <w:tcPr>
            <w:tcW w:w="2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HGJJ2019027</w:t>
            </w:r>
          </w:p>
        </w:tc>
      </w:tr>
      <w:tr>
        <w:tblPrEx>
          <w:tblLayout w:type="fixed"/>
          <w:tblCellMar>
            <w:top w:w="0" w:type="dxa"/>
            <w:left w:w="0" w:type="dxa"/>
            <w:bottom w:w="0" w:type="dxa"/>
            <w:right w:w="0" w:type="dxa"/>
          </w:tblCellMar>
        </w:tblPrEx>
        <w:trPr>
          <w:trHeight w:val="480"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工程名称</w:t>
            </w:r>
          </w:p>
        </w:tc>
        <w:tc>
          <w:tcPr>
            <w:tcW w:w="705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汕头市濠江区濠洲路（县道X053）天公岭路段改造扩建工程项目设计施工总承包</w:t>
            </w:r>
          </w:p>
        </w:tc>
      </w:tr>
      <w:tr>
        <w:tblPrEx>
          <w:tblLayout w:type="fixed"/>
          <w:tblCellMar>
            <w:top w:w="0" w:type="dxa"/>
            <w:left w:w="0" w:type="dxa"/>
            <w:bottom w:w="0" w:type="dxa"/>
            <w:right w:w="0" w:type="dxa"/>
          </w:tblCellMar>
        </w:tblPrEx>
        <w:trPr>
          <w:trHeight w:val="480"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立项批文文号</w:t>
            </w:r>
          </w:p>
        </w:tc>
        <w:tc>
          <w:tcPr>
            <w:tcW w:w="705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【汕濠发改预〔2019〕83号】、【汕濠交运函（2019）20号】</w:t>
            </w:r>
          </w:p>
        </w:tc>
      </w:tr>
      <w:tr>
        <w:tblPrEx>
          <w:tblLayout w:type="fixed"/>
          <w:tblCellMar>
            <w:top w:w="0" w:type="dxa"/>
            <w:left w:w="0" w:type="dxa"/>
            <w:bottom w:w="0" w:type="dxa"/>
            <w:right w:w="0" w:type="dxa"/>
          </w:tblCellMar>
        </w:tblPrEx>
        <w:trPr>
          <w:trHeight w:val="480"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招标人</w:t>
            </w:r>
          </w:p>
        </w:tc>
        <w:tc>
          <w:tcPr>
            <w:tcW w:w="2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汕头市濠江区住房和城乡建设局</w:t>
            </w:r>
          </w:p>
        </w:tc>
        <w:tc>
          <w:tcPr>
            <w:tcW w:w="14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招标代理机构</w:t>
            </w:r>
          </w:p>
        </w:tc>
        <w:tc>
          <w:tcPr>
            <w:tcW w:w="2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广东采联采购科技有限公司</w:t>
            </w:r>
          </w:p>
        </w:tc>
      </w:tr>
      <w:tr>
        <w:tblPrEx>
          <w:tblLayout w:type="fixed"/>
          <w:tblCellMar>
            <w:top w:w="0" w:type="dxa"/>
            <w:left w:w="0" w:type="dxa"/>
            <w:bottom w:w="0" w:type="dxa"/>
            <w:right w:w="0" w:type="dxa"/>
          </w:tblCellMar>
        </w:tblPrEx>
        <w:trPr>
          <w:trHeight w:val="480"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设计单位</w:t>
            </w:r>
          </w:p>
        </w:tc>
        <w:tc>
          <w:tcPr>
            <w:tcW w:w="2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w:t>
            </w:r>
          </w:p>
        </w:tc>
        <w:tc>
          <w:tcPr>
            <w:tcW w:w="14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勘察单位</w:t>
            </w:r>
          </w:p>
        </w:tc>
        <w:tc>
          <w:tcPr>
            <w:tcW w:w="2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w:t>
            </w:r>
          </w:p>
        </w:tc>
      </w:tr>
      <w:tr>
        <w:tblPrEx>
          <w:tblLayout w:type="fixed"/>
          <w:tblCellMar>
            <w:top w:w="0" w:type="dxa"/>
            <w:left w:w="0" w:type="dxa"/>
            <w:bottom w:w="0" w:type="dxa"/>
            <w:right w:w="0" w:type="dxa"/>
          </w:tblCellMar>
        </w:tblPrEx>
        <w:trPr>
          <w:trHeight w:val="480"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联系人</w:t>
            </w:r>
          </w:p>
        </w:tc>
        <w:tc>
          <w:tcPr>
            <w:tcW w:w="2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陈工、黄先生</w:t>
            </w:r>
          </w:p>
        </w:tc>
        <w:tc>
          <w:tcPr>
            <w:tcW w:w="14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联系电话</w:t>
            </w:r>
          </w:p>
        </w:tc>
        <w:tc>
          <w:tcPr>
            <w:tcW w:w="2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0754-87290928、0754-87490116</w:t>
            </w:r>
          </w:p>
        </w:tc>
      </w:tr>
      <w:tr>
        <w:tblPrEx>
          <w:tblLayout w:type="fixed"/>
          <w:tblCellMar>
            <w:top w:w="0" w:type="dxa"/>
            <w:left w:w="0" w:type="dxa"/>
            <w:bottom w:w="0" w:type="dxa"/>
            <w:right w:w="0" w:type="dxa"/>
          </w:tblCellMar>
        </w:tblPrEx>
        <w:trPr>
          <w:trHeight w:val="480"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工程地点</w:t>
            </w:r>
          </w:p>
        </w:tc>
        <w:tc>
          <w:tcPr>
            <w:tcW w:w="705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起点位于深汕高速，经现状濠洲路、翻天公岭，终点与磊广公路平面交叉</w:t>
            </w:r>
          </w:p>
        </w:tc>
      </w:tr>
      <w:tr>
        <w:tblPrEx>
          <w:tblLayout w:type="fixed"/>
          <w:tblCellMar>
            <w:top w:w="0" w:type="dxa"/>
            <w:left w:w="0" w:type="dxa"/>
            <w:bottom w:w="0" w:type="dxa"/>
            <w:right w:w="0" w:type="dxa"/>
          </w:tblCellMar>
        </w:tblPrEx>
        <w:trPr>
          <w:trHeight w:val="1695"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建设规模</w:t>
            </w:r>
          </w:p>
        </w:tc>
        <w:tc>
          <w:tcPr>
            <w:tcW w:w="705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项目全长1231米，标准段宽度20米，明洞段19.5米，道路占地面积约45333.3平方米，设隧道明洞90M/1座，箱涵164.56M/2座，本项目道路按二级公路标准，地下管线按市政配套建设。建设内容包括道路工程、桥涵工程、隧道明洞工程、交通工程、给排水工程、照明工程、电力工程、通信工程、燃气工程、绿化工程以及管线迁改。项目概算审核后总投资为139249954.00元，其中建筑安装工程费为：72826309.00元，工程设计费为1369801.00元（其中设计费为1144026.00元，建设项目信息化费225775.00元）。</w:t>
            </w:r>
          </w:p>
        </w:tc>
      </w:tr>
      <w:tr>
        <w:tblPrEx>
          <w:tblLayout w:type="fixed"/>
          <w:tblCellMar>
            <w:top w:w="0" w:type="dxa"/>
            <w:left w:w="0" w:type="dxa"/>
            <w:bottom w:w="0" w:type="dxa"/>
            <w:right w:w="0" w:type="dxa"/>
          </w:tblCellMar>
        </w:tblPrEx>
        <w:trPr>
          <w:trHeight w:val="540"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资金来源及构成</w:t>
            </w:r>
          </w:p>
        </w:tc>
        <w:tc>
          <w:tcPr>
            <w:tcW w:w="705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财政投资100%</w:t>
            </w:r>
          </w:p>
        </w:tc>
      </w:tr>
      <w:tr>
        <w:tblPrEx>
          <w:tblLayout w:type="fixed"/>
          <w:tblCellMar>
            <w:top w:w="0" w:type="dxa"/>
            <w:left w:w="0" w:type="dxa"/>
            <w:bottom w:w="0" w:type="dxa"/>
            <w:right w:w="0" w:type="dxa"/>
          </w:tblCellMar>
        </w:tblPrEx>
        <w:trPr>
          <w:trHeight w:val="1320"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招标内容</w:t>
            </w:r>
          </w:p>
        </w:tc>
        <w:tc>
          <w:tcPr>
            <w:tcW w:w="705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招标范围：本工程范围包含本项目里程内的公路工程(道路工程、桥涵工程、隧道明洞工程、交通工程、给排水工程、照明工程、电力工程、通信工程、燃气工程、绿化工程以及管线迁改)的施工图设计、施工图过程中的设计指导、设计变更、竣工图编制以及设计范围内工程的施工准备阶段、施工阶段以及工程保修期内缺陷修复等。</w:t>
            </w:r>
          </w:p>
        </w:tc>
      </w:tr>
      <w:tr>
        <w:tblPrEx>
          <w:tblLayout w:type="fixed"/>
          <w:tblCellMar>
            <w:top w:w="0" w:type="dxa"/>
            <w:left w:w="0" w:type="dxa"/>
            <w:bottom w:w="0" w:type="dxa"/>
            <w:right w:w="0" w:type="dxa"/>
          </w:tblCellMar>
        </w:tblPrEx>
        <w:trPr>
          <w:trHeight w:val="379"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前期工作完成情况</w:t>
            </w:r>
          </w:p>
        </w:tc>
        <w:tc>
          <w:tcPr>
            <w:tcW w:w="705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已完成有关准备工作</w:t>
            </w:r>
          </w:p>
        </w:tc>
      </w:tr>
      <w:tr>
        <w:tblPrEx>
          <w:tblLayout w:type="fixed"/>
          <w:tblCellMar>
            <w:top w:w="0" w:type="dxa"/>
            <w:left w:w="0" w:type="dxa"/>
            <w:bottom w:w="0" w:type="dxa"/>
            <w:right w:w="0" w:type="dxa"/>
          </w:tblCellMar>
        </w:tblPrEx>
        <w:trPr>
          <w:trHeight w:val="1691"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对投标单位要求</w:t>
            </w:r>
          </w:p>
        </w:tc>
        <w:tc>
          <w:tcPr>
            <w:tcW w:w="7059" w:type="dxa"/>
            <w:gridSpan w:val="3"/>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一、1.投标人资质要求：（1）同时具备：①建设主管部门核发的公路工程施工总承包贰级（或以上）资质并持有合法有效的安全生产许可证，② 具备工程设计综合甲级资质或工程设计公路行业乙级（或以上）或工程设计公路行业（公路）专业乙级（或以上）资质。（2）本次招标要求投标人须具备上述(1)点中所列相应上述第2.2款表中所列相应的资质、具备相应的设计、施工业绩，并在人员、设备、资金等方面具有相应的设计、施工能力。2、投标人应进入交通运输部“全国公路建设市场信用信息管理系统（http:glxy.mot.gov.cn）”中的公路工程施工资质企业名录，且投标人名称和资质与该名录中的相应企业名称和资质完全一致。3、本次招标接受联合体投标。联合体投标的，应满足下列要求: （1)联合体各方应按招标文件提供的格式签订联合体协议书，明确联合体牵头人和各方权利义务，并承诺就中标项目向招标人承担连带责任；(2)由同一专业的单位组成的联合体，按照资质等级较低的单位确定资质等级； (3)联合体各方不得再以自己名义单独或参加其他联合体在同一标段中投标； (4)联合体所有成员（含牵头人）数量不得超过2个；联合体应由1家设计单位和1家施工单位组成； (5)联合体牵头人所承担的工程量必须超过总工程量的50％；(6)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(7)尽管委任了联合体牵头人，但联合体各成员在投标、签订合同与履行合同过程中，仍负有连带的和各自的法律责任。4、在本次招标中，每个投标人最多可对1个标段类别进行投标，但只允许中1个标段。5、与招标人存在利害关系可能影响招标公正性的法人，不得参加投标；若单位负责人1为同一人、或者存在控股2、管理关系3的不同单位，不得参加同一标段投标或者未划分标段的同一招标项目投标，否则按否决其投标处理。6、 在“信用中国”网站（http://www.creditchina.gov.cn/)中被列入失信被执行 人名单的投标人，在国家企业信用信息公示系统（www.gsxt.gov.cn）中被列入严重违 法失信企业名单的投标人，均按否决投标处理。二、招标文件的获取：凡有意参加投标者，请拟派代表于2019年11月18日至 2019年11月22日(法定公休日、法定节假日除外)，每日上午9时30分至11时30分，下午14时30分至16时30分(北京时间，下同)到汕头市公共资源交易中心濠江分中心（汕头市濠江区疏港大道中海信汕头创新产业园内（濠江区行政服务中心东侧）产B1-02幢4楼）现场递交本招标公告所需的获取招标文件资料。获取招标文件时需提供以下资料（一式二份，装订成册，所有复印件均须加盖单位公章并提供原件核查（资质证书、安全生产考核合格证B类证书、和法定代表人身份证原件除外）；1、 投标人须在获取招标文件时填写《投标申请登记表》2、企业营业执照副本复印件、资质证书副本复印件、施工企业安全生产许可证副本复印件、投标人在“全国公路建设市场信用信息管理系统”公路工程企业名录中的网页屏幕打印资料并加盖单位公章（若为联合体投标，联合体双方均须提供）；3、法定代表人证明书原件和法定代表人身份证复印件（若为联合体投标，联合体双方均须提供）、授权委托书原件和委托代理人身份证复印件（若为联合体投标，获取招标文件时和投标时的代表由牵头人进行授权委托）；且授权人和被授权人均在授权书上签名或盖章；4、拟派的施工项目经理、设计负责人的职称证书复印件、身份证复印件、社保证明复印件，项目经理的执业资格注册证书复印件和安全生产考核合格证B类复印件；5、联合体协议书原件（若为联合体投标，须提供）；6、加盖单位公章均指加盖联合体牵头人单位公章，获取招标文件的被授权人可以是牵头人拟派项目经理或其他人。7、招标文件每套售价500元，售后不退。 三、资格审查方式：采用资格后审，由招标人组建的评标委员会在开标后对投标人进行资格审查。四、评标定标方式：设计评审采用综合评分法，施工评审采用合理低价法，分两个信封进行评审。五、招标人将不组织踏勘现场和投标预备会。六、投标文件递交的截止时间（投标截止时间，下同）为 2020年01月07日10时30分，投标人应于当日2020年01月07日9时00分至10时30分（以汕头市人民政府门户网汕头市公共资源交易中心专栏公布的招标投标时间表为准）将投标文件递至汕头市公共资源交易中心濠江分中心（汕头市濠江区疏港大道中海信汕头创新产业园内（濠江区行政服务中心东侧）产B1-02幢4楼）。逾期送达的、未送达指定地点的或不按照招标文件要求密封的投标文件，招标人不予受理。七、本次招标公告同时在汕头市人民政府门户网汕头市公共资源交易中心专栏、广东省招标投标监管网、汕头市交通运输局网站上发布。如公告详细内容不一致者，以汕头市人民政府门户网汕头市公共资源交易中心专栏公告为准。在规定的获取招标文件期间，如某个标段购买招标文件的投标人不足3家时，招标人依法有权选择以下任一方式：（1）在汕头市人民政府门户网汕头市公共资源交易中心专栏发布公告延长获取招标文件时间，在延期获取招标文件时间内，已获取招标文件的投标人的资料仍有效并可自行补充资料，未获取招标文件的投标人可根据公告的约定进行购买；（2）依法重新组织招标或不再招标。</w:t>
            </w:r>
          </w:p>
        </w:tc>
      </w:tr>
      <w:tr>
        <w:tblPrEx>
          <w:tblLayout w:type="fixed"/>
          <w:tblCellMar>
            <w:top w:w="0" w:type="dxa"/>
            <w:left w:w="0" w:type="dxa"/>
            <w:bottom w:w="0" w:type="dxa"/>
            <w:right w:w="0" w:type="dxa"/>
          </w:tblCellMar>
        </w:tblPrEx>
        <w:trPr>
          <w:trHeight w:val="992"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发布媒体</w:t>
            </w:r>
          </w:p>
        </w:tc>
        <w:tc>
          <w:tcPr>
            <w:tcW w:w="705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汕头市人民政府门户网汕头市公共资源交易中心专栏、广东省招标投标监管网、汕头市交通运输局网站</w:t>
            </w:r>
          </w:p>
        </w:tc>
      </w:tr>
      <w:tr>
        <w:tblPrEx>
          <w:tblLayout w:type="fixed"/>
          <w:tblCellMar>
            <w:top w:w="0" w:type="dxa"/>
            <w:left w:w="0" w:type="dxa"/>
            <w:bottom w:w="0" w:type="dxa"/>
            <w:right w:w="0" w:type="dxa"/>
          </w:tblCellMar>
        </w:tblPrEx>
        <w:trPr>
          <w:trHeight w:val="765"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交易场所</w:t>
            </w:r>
          </w:p>
        </w:tc>
        <w:tc>
          <w:tcPr>
            <w:tcW w:w="705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汕头市濠江区疏港大道中海信汕头创新产业园内（濠江区行政服务中心东侧）产B1-02幢4楼</w:t>
            </w:r>
          </w:p>
        </w:tc>
      </w:tr>
      <w:tr>
        <w:tblPrEx>
          <w:tblLayout w:type="fixed"/>
          <w:tblCellMar>
            <w:top w:w="0" w:type="dxa"/>
            <w:left w:w="0" w:type="dxa"/>
            <w:bottom w:w="0" w:type="dxa"/>
            <w:right w:w="0" w:type="dxa"/>
          </w:tblCellMar>
        </w:tblPrEx>
        <w:trPr>
          <w:trHeight w:val="480"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行政监督部门</w:t>
            </w:r>
          </w:p>
        </w:tc>
        <w:tc>
          <w:tcPr>
            <w:tcW w:w="2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汕头市濠江区交通运输局</w:t>
            </w:r>
          </w:p>
        </w:tc>
        <w:tc>
          <w:tcPr>
            <w:tcW w:w="146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联系电话</w:t>
            </w:r>
          </w:p>
        </w:tc>
        <w:tc>
          <w:tcPr>
            <w:tcW w:w="2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0754-87366691</w:t>
            </w:r>
          </w:p>
        </w:tc>
      </w:tr>
      <w:tr>
        <w:tblPrEx>
          <w:tblLayout w:type="fixed"/>
          <w:tblCellMar>
            <w:top w:w="0" w:type="dxa"/>
            <w:left w:w="0" w:type="dxa"/>
            <w:bottom w:w="0" w:type="dxa"/>
            <w:right w:w="0" w:type="dxa"/>
          </w:tblCellMar>
        </w:tblPrEx>
        <w:trPr>
          <w:trHeight w:val="480"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项目核准部门</w:t>
            </w:r>
          </w:p>
        </w:tc>
        <w:tc>
          <w:tcPr>
            <w:tcW w:w="2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汕头市濠江区发展和改革局</w:t>
            </w:r>
          </w:p>
        </w:tc>
        <w:tc>
          <w:tcPr>
            <w:tcW w:w="1466" w:type="dxa"/>
            <w:vMerge w:val="continue"/>
            <w:tcBorders>
              <w:top w:val="nil"/>
              <w:left w:val="nil"/>
              <w:bottom w:val="single" w:color="auto" w:sz="8" w:space="0"/>
              <w:right w:val="single" w:color="auto" w:sz="8" w:space="0"/>
            </w:tcBorders>
            <w:vAlign w:val="center"/>
          </w:tcPr>
          <w:p>
            <w:pPr>
              <w:widowControl/>
              <w:spacing w:line="240" w:lineRule="auto"/>
              <w:jc w:val="left"/>
              <w:rPr>
                <w:rFonts w:ascii="Calibri" w:hAnsi="Calibri" w:eastAsia="微软雅黑" w:cs="Calibri"/>
                <w:kern w:val="0"/>
                <w:szCs w:val="21"/>
              </w:rPr>
            </w:pPr>
          </w:p>
        </w:tc>
        <w:tc>
          <w:tcPr>
            <w:tcW w:w="2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0754-87381441</w:t>
            </w:r>
          </w:p>
        </w:tc>
      </w:tr>
      <w:tr>
        <w:tblPrEx>
          <w:tblLayout w:type="fixed"/>
          <w:tblCellMar>
            <w:top w:w="0" w:type="dxa"/>
            <w:left w:w="0" w:type="dxa"/>
            <w:bottom w:w="0" w:type="dxa"/>
            <w:right w:w="0" w:type="dxa"/>
          </w:tblCellMar>
        </w:tblPrEx>
        <w:trPr>
          <w:trHeight w:val="480"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监察部门</w:t>
            </w:r>
          </w:p>
        </w:tc>
        <w:tc>
          <w:tcPr>
            <w:tcW w:w="2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汕头市濠江区监察委员会</w:t>
            </w:r>
          </w:p>
        </w:tc>
        <w:tc>
          <w:tcPr>
            <w:tcW w:w="1466" w:type="dxa"/>
            <w:vMerge w:val="continue"/>
            <w:tcBorders>
              <w:top w:val="nil"/>
              <w:left w:val="nil"/>
              <w:bottom w:val="single" w:color="auto" w:sz="8" w:space="0"/>
              <w:right w:val="single" w:color="auto" w:sz="8" w:space="0"/>
            </w:tcBorders>
            <w:vAlign w:val="center"/>
          </w:tcPr>
          <w:p>
            <w:pPr>
              <w:widowControl/>
              <w:spacing w:line="240" w:lineRule="auto"/>
              <w:jc w:val="left"/>
              <w:rPr>
                <w:rFonts w:ascii="Calibri" w:hAnsi="Calibri" w:eastAsia="微软雅黑" w:cs="Calibri"/>
                <w:kern w:val="0"/>
                <w:szCs w:val="21"/>
              </w:rPr>
            </w:pPr>
          </w:p>
        </w:tc>
        <w:tc>
          <w:tcPr>
            <w:tcW w:w="2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0754-87380242</w:t>
            </w:r>
          </w:p>
        </w:tc>
      </w:tr>
      <w:tr>
        <w:tblPrEx>
          <w:tblLayout w:type="fixed"/>
          <w:tblCellMar>
            <w:top w:w="0" w:type="dxa"/>
            <w:left w:w="0" w:type="dxa"/>
            <w:bottom w:w="0" w:type="dxa"/>
            <w:right w:w="0" w:type="dxa"/>
          </w:tblCellMar>
        </w:tblPrEx>
        <w:trPr>
          <w:trHeight w:val="480"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信息发布时间</w:t>
            </w:r>
          </w:p>
        </w:tc>
        <w:tc>
          <w:tcPr>
            <w:tcW w:w="705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2019年11月08日</w:t>
            </w:r>
          </w:p>
        </w:tc>
      </w:tr>
      <w:tr>
        <w:tblPrEx>
          <w:tblLayout w:type="fixed"/>
          <w:tblCellMar>
            <w:top w:w="0" w:type="dxa"/>
            <w:left w:w="0" w:type="dxa"/>
            <w:bottom w:w="0" w:type="dxa"/>
            <w:right w:w="0" w:type="dxa"/>
          </w:tblCellMar>
        </w:tblPrEx>
        <w:trPr>
          <w:trHeight w:val="600" w:hRule="atLeast"/>
          <w:jc w:val="center"/>
        </w:trPr>
        <w:tc>
          <w:tcPr>
            <w:tcW w:w="8522"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b/>
                <w:bCs/>
                <w:color w:val="444444"/>
                <w:kern w:val="0"/>
                <w:szCs w:val="21"/>
              </w:rPr>
              <w:t>日程安排</w:t>
            </w:r>
          </w:p>
        </w:tc>
      </w:tr>
      <w:tr>
        <w:tblPrEx>
          <w:tblLayout w:type="fixed"/>
          <w:tblCellMar>
            <w:top w:w="0" w:type="dxa"/>
            <w:left w:w="0" w:type="dxa"/>
            <w:bottom w:w="0" w:type="dxa"/>
            <w:right w:w="0" w:type="dxa"/>
          </w:tblCellMar>
        </w:tblPrEx>
        <w:trPr>
          <w:trHeight w:val="600"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提交书面问题截止时间</w:t>
            </w:r>
          </w:p>
        </w:tc>
        <w:tc>
          <w:tcPr>
            <w:tcW w:w="7059"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2019-11-29 17:00</w:t>
            </w:r>
          </w:p>
        </w:tc>
      </w:tr>
      <w:tr>
        <w:tblPrEx>
          <w:tblLayout w:type="fixed"/>
          <w:tblCellMar>
            <w:top w:w="0" w:type="dxa"/>
            <w:left w:w="0" w:type="dxa"/>
            <w:bottom w:w="0" w:type="dxa"/>
            <w:right w:w="0" w:type="dxa"/>
          </w:tblCellMar>
        </w:tblPrEx>
        <w:trPr>
          <w:trHeight w:val="600"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招标人答复时间</w:t>
            </w:r>
          </w:p>
        </w:tc>
        <w:tc>
          <w:tcPr>
            <w:tcW w:w="705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2019-12-06 17:00</w:t>
            </w:r>
          </w:p>
        </w:tc>
      </w:tr>
      <w:tr>
        <w:tblPrEx>
          <w:tblLayout w:type="fixed"/>
          <w:tblCellMar>
            <w:top w:w="0" w:type="dxa"/>
            <w:left w:w="0" w:type="dxa"/>
            <w:bottom w:w="0" w:type="dxa"/>
            <w:right w:w="0" w:type="dxa"/>
          </w:tblCellMar>
        </w:tblPrEx>
        <w:trPr>
          <w:trHeight w:val="600"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专家抽取时间</w:t>
            </w:r>
          </w:p>
        </w:tc>
        <w:tc>
          <w:tcPr>
            <w:tcW w:w="705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2020-01-06 08:30</w:t>
            </w:r>
          </w:p>
        </w:tc>
      </w:tr>
      <w:tr>
        <w:tblPrEx>
          <w:tblLayout w:type="fixed"/>
          <w:tblCellMar>
            <w:top w:w="0" w:type="dxa"/>
            <w:left w:w="0" w:type="dxa"/>
            <w:bottom w:w="0" w:type="dxa"/>
            <w:right w:w="0" w:type="dxa"/>
          </w:tblCellMar>
        </w:tblPrEx>
        <w:trPr>
          <w:trHeight w:val="600"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递交标书</w:t>
            </w:r>
          </w:p>
        </w:tc>
        <w:tc>
          <w:tcPr>
            <w:tcW w:w="705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2020-01-07 09:00 -- 10:30</w:t>
            </w:r>
          </w:p>
        </w:tc>
      </w:tr>
      <w:tr>
        <w:tblPrEx>
          <w:tblLayout w:type="fixed"/>
          <w:tblCellMar>
            <w:top w:w="0" w:type="dxa"/>
            <w:left w:w="0" w:type="dxa"/>
            <w:bottom w:w="0" w:type="dxa"/>
            <w:right w:w="0" w:type="dxa"/>
          </w:tblCellMar>
        </w:tblPrEx>
        <w:trPr>
          <w:trHeight w:val="600" w:hRule="atLeast"/>
          <w:jc w:val="center"/>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微软雅黑" w:cs="Calibri"/>
                <w:kern w:val="0"/>
                <w:szCs w:val="21"/>
              </w:rPr>
            </w:pPr>
            <w:r>
              <w:rPr>
                <w:rFonts w:hint="eastAsia" w:ascii="宋体" w:hAnsi="宋体" w:eastAsia="宋体" w:cs="Calibri"/>
                <w:color w:val="444444"/>
                <w:kern w:val="0"/>
                <w:szCs w:val="21"/>
              </w:rPr>
              <w:t>评标开标</w:t>
            </w:r>
          </w:p>
        </w:tc>
        <w:tc>
          <w:tcPr>
            <w:tcW w:w="705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微软雅黑" w:cs="Calibri"/>
                <w:kern w:val="0"/>
                <w:szCs w:val="21"/>
              </w:rPr>
            </w:pPr>
            <w:r>
              <w:rPr>
                <w:rFonts w:hint="eastAsia" w:ascii="宋体" w:hAnsi="宋体" w:eastAsia="宋体" w:cs="Calibri"/>
                <w:color w:val="444444"/>
                <w:kern w:val="0"/>
                <w:szCs w:val="21"/>
              </w:rPr>
              <w:t>2020-01-07 10:30</w:t>
            </w:r>
          </w:p>
        </w:tc>
      </w:tr>
    </w:tbl>
    <w:p>
      <w:pPr>
        <w:widowControl/>
        <w:rPr>
          <w:rFonts w:ascii="Calibri" w:hAnsi="Calibri" w:eastAsia="微软雅黑" w:cs="Calibri"/>
          <w:color w:val="4C5157"/>
          <w:kern w:val="0"/>
          <w:szCs w:val="21"/>
        </w:rPr>
      </w:pPr>
    </w:p>
    <w:p/>
    <w:sectPr>
      <w:pgSz w:w="11906" w:h="16838"/>
      <w:pgMar w:top="1417" w:right="1757" w:bottom="1134" w:left="175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67AE"/>
    <w:rsid w:val="00183FFA"/>
    <w:rsid w:val="00606C7D"/>
    <w:rsid w:val="00782890"/>
    <w:rsid w:val="009167AE"/>
    <w:rsid w:val="00FC1213"/>
    <w:rsid w:val="0AED5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508</Words>
  <Characters>2901</Characters>
  <Lines>24</Lines>
  <Paragraphs>6</Paragraphs>
  <TotalTime>0</TotalTime>
  <ScaleCrop>false</ScaleCrop>
  <LinksUpToDate>false</LinksUpToDate>
  <CharactersWithSpaces>3403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2019-11-08T06:38:00Z</dcterms:created>
  <dc:creator>蔡淑娟</dc:creator>
  <cp:lastModifiedBy>Administrator</cp:lastModifiedBy>
  <dcterms:modified xsi:type="dcterms:W3CDTF">2019-11-08T07:13:27Z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