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36"/>
          <w:szCs w:val="36"/>
        </w:rPr>
      </w:pPr>
    </w:p>
    <w:p>
      <w:pPr>
        <w:widowControl/>
        <w:spacing w:before="240" w:beforeLines="100" w:after="240" w:afterLines="100"/>
        <w:jc w:val="center"/>
        <w:rPr>
          <w:rFonts w:hint="eastAsia" w:ascii="宋体" w:hAnsi="宋体"/>
          <w:b/>
          <w:sz w:val="36"/>
          <w:szCs w:val="36"/>
        </w:rPr>
      </w:pPr>
      <w:bookmarkStart w:id="181" w:name="_GoBack"/>
      <w:bookmarkEnd w:id="181"/>
      <w:r>
        <w:rPr>
          <w:rFonts w:hint="eastAsia" w:ascii="宋体" w:hAnsi="宋体"/>
          <w:b/>
          <w:sz w:val="36"/>
          <w:szCs w:val="36"/>
        </w:rPr>
        <w:t>人</w:t>
      </w:r>
      <w:bookmarkStart w:id="0" w:name="StandardName"/>
      <w:r>
        <w:rPr>
          <w:rFonts w:hint="eastAsia" w:ascii="宋体" w:hAnsi="宋体"/>
          <w:b/>
          <w:sz w:val="36"/>
          <w:szCs w:val="36"/>
        </w:rPr>
        <w:t>体损伤致残程度</w:t>
      </w:r>
      <w:bookmarkEnd w:id="0"/>
      <w:r>
        <w:rPr>
          <w:rFonts w:hint="eastAsia" w:ascii="宋体" w:hAnsi="宋体"/>
          <w:b/>
          <w:sz w:val="36"/>
          <w:szCs w:val="36"/>
        </w:rPr>
        <w:t>分级</w:t>
      </w:r>
    </w:p>
    <w:p>
      <w:pPr>
        <w:pStyle w:val="9"/>
        <w:spacing w:before="240" w:after="240"/>
        <w:rPr>
          <w:rFonts w:hint="eastAsia"/>
        </w:rPr>
      </w:pPr>
      <w:bookmarkStart w:id="1" w:name="_Toc384919713"/>
      <w:bookmarkStart w:id="2" w:name="_Toc386380653"/>
      <w:r>
        <w:rPr>
          <w:rFonts w:hint="eastAsia"/>
        </w:rPr>
        <w:t>范围</w:t>
      </w:r>
      <w:bookmarkEnd w:id="1"/>
      <w:bookmarkEnd w:id="2"/>
    </w:p>
    <w:p>
      <w:pPr>
        <w:ind w:firstLine="424" w:firstLineChars="202"/>
        <w:rPr>
          <w:rFonts w:eastAsia="Times New Roman"/>
        </w:rPr>
      </w:pPr>
      <w:r>
        <w:t>本标准规定了人体损伤致残程度</w:t>
      </w:r>
      <w:r>
        <w:rPr>
          <w:rFonts w:hint="eastAsia"/>
        </w:rPr>
        <w:t>分级</w:t>
      </w:r>
      <w:r>
        <w:t>的原则、方法、内容和等级划分。</w:t>
      </w:r>
    </w:p>
    <w:p>
      <w:pPr>
        <w:ind w:firstLine="424" w:firstLineChars="202"/>
        <w:rPr>
          <w:rFonts w:hint="eastAsia"/>
        </w:rPr>
      </w:pPr>
      <w:r>
        <w:t>本标准适用于</w:t>
      </w:r>
      <w:r>
        <w:rPr>
          <w:rFonts w:hint="eastAsia"/>
        </w:rPr>
        <w:t>人身损害致</w:t>
      </w:r>
      <w:r>
        <w:t>残程度</w:t>
      </w:r>
      <w:r>
        <w:rPr>
          <w:rFonts w:hint="eastAsia"/>
        </w:rPr>
        <w:t>等级</w:t>
      </w:r>
      <w:r>
        <w:t>鉴定。</w:t>
      </w:r>
    </w:p>
    <w:p>
      <w:pPr>
        <w:pStyle w:val="9"/>
        <w:spacing w:before="240" w:after="240"/>
        <w:rPr>
          <w:rFonts w:eastAsia="Times New Roman"/>
        </w:rPr>
      </w:pPr>
      <w:bookmarkStart w:id="3" w:name="_Toc384919714"/>
      <w:bookmarkStart w:id="4" w:name="_Toc386380654"/>
      <w:r>
        <w:rPr>
          <w:rFonts w:hint="eastAsia"/>
        </w:rPr>
        <w:t>规范性引用文件</w:t>
      </w:r>
    </w:p>
    <w:p>
      <w:pPr>
        <w:rPr>
          <w:rFonts w:hint="eastAsia"/>
        </w:rPr>
      </w:pPr>
      <w:r>
        <w:rPr>
          <w:rFonts w:hint="eastAsia"/>
        </w:rPr>
        <w:t xml:space="preserve">    下列文件对本标准的应用是必不可少的。凡是注日期的引用文件，仅注日期的版本适用于本标准；凡是不注日期的引用文件，其最新版本（包括所有的修改单）适用于本标准。</w:t>
      </w:r>
    </w:p>
    <w:p>
      <w:pPr>
        <w:ind w:firstLine="424" w:firstLineChars="202"/>
        <w:rPr>
          <w:rFonts w:hint="eastAsia"/>
        </w:rPr>
      </w:pPr>
      <w:r>
        <w:rPr>
          <w:rFonts w:hint="eastAsia"/>
        </w:rPr>
        <w:t>最高人民法院、最高人民检察院、公安部、国家安全部、司法部发布 人体损伤程度鉴定标准</w:t>
      </w:r>
    </w:p>
    <w:p>
      <w:pPr>
        <w:pStyle w:val="10"/>
        <w:rPr>
          <w:rFonts w:hint="eastAsia" w:hAnsi="宋体"/>
        </w:rPr>
      </w:pPr>
      <w:r>
        <w:rPr>
          <w:rFonts w:hint="eastAsia" w:hAnsi="宋体"/>
        </w:rPr>
        <w:t>GB/T 16180-2014 劳动能力鉴定 职工工伤与职业病致残等级</w:t>
      </w:r>
    </w:p>
    <w:p>
      <w:pPr>
        <w:pStyle w:val="10"/>
        <w:rPr>
          <w:rFonts w:hint="eastAsia" w:hAnsi="宋体"/>
        </w:rPr>
      </w:pPr>
      <w:r>
        <w:rPr>
          <w:rFonts w:hint="eastAsia" w:hAnsi="宋体"/>
        </w:rPr>
        <w:t>GB/T 31147 人身损害护理依赖程度评定</w:t>
      </w:r>
    </w:p>
    <w:p>
      <w:pPr>
        <w:pStyle w:val="9"/>
        <w:spacing w:before="240" w:after="240"/>
        <w:rPr>
          <w:rFonts w:eastAsia="Times New Roman"/>
        </w:rPr>
      </w:pPr>
      <w:r>
        <w:rPr>
          <w:rFonts w:hint="eastAsia"/>
        </w:rPr>
        <w:t>术语和定义</w:t>
      </w:r>
    </w:p>
    <w:p>
      <w:pPr>
        <w:pStyle w:val="11"/>
        <w:spacing w:before="120" w:after="120"/>
        <w:ind w:left="210" w:right="210"/>
        <w:rPr>
          <w:rFonts w:hint="eastAsia"/>
        </w:rPr>
      </w:pPr>
      <w:r>
        <w:rPr>
          <w:rFonts w:hint="eastAsia"/>
        </w:rPr>
        <w:t>损伤</w:t>
      </w:r>
    </w:p>
    <w:p>
      <w:pPr>
        <w:pStyle w:val="10"/>
      </w:pPr>
      <w:r>
        <w:rPr>
          <w:rFonts w:hint="eastAsia" w:hAnsi="宋体"/>
        </w:rPr>
        <w:t>各种因素造成的人体组织器官结构破坏和/或功能障碍</w:t>
      </w:r>
      <w:r>
        <w:rPr>
          <w:rFonts w:hAnsi="宋体"/>
        </w:rPr>
        <w:t>。</w:t>
      </w:r>
    </w:p>
    <w:p>
      <w:pPr>
        <w:pStyle w:val="11"/>
        <w:spacing w:before="120" w:after="120"/>
        <w:ind w:left="210" w:right="210"/>
        <w:rPr>
          <w:rFonts w:hint="eastAsia"/>
        </w:rPr>
      </w:pPr>
      <w:r>
        <w:rPr>
          <w:rFonts w:hint="eastAsia"/>
        </w:rPr>
        <w:t>残疾</w:t>
      </w:r>
    </w:p>
    <w:p>
      <w:pPr>
        <w:pStyle w:val="10"/>
        <w:rPr>
          <w:szCs w:val="21"/>
        </w:rPr>
      </w:pPr>
      <w:r>
        <w:rPr>
          <w:rFonts w:hint="eastAsia"/>
          <w:szCs w:val="21"/>
        </w:rPr>
        <w:t>人体组织器官结构破坏或者功能障碍，以及个体在现代临床医疗条件下难以恢复的生活、工作、社会活动能力不同程度的降低或者丧失。</w:t>
      </w:r>
    </w:p>
    <w:p>
      <w:pPr>
        <w:pStyle w:val="9"/>
        <w:spacing w:before="240" w:after="240"/>
        <w:rPr>
          <w:rFonts w:eastAsia="Times New Roman"/>
        </w:rPr>
      </w:pPr>
      <w:r>
        <w:t>总则</w:t>
      </w:r>
      <w:bookmarkEnd w:id="3"/>
      <w:bookmarkEnd w:id="4"/>
    </w:p>
    <w:p>
      <w:pPr>
        <w:pStyle w:val="11"/>
        <w:spacing w:before="120" w:after="120"/>
        <w:ind w:left="210" w:right="210"/>
      </w:pPr>
      <w:bookmarkStart w:id="5" w:name="_Toc384919715"/>
      <w:bookmarkStart w:id="6" w:name="_Toc386380655"/>
      <w:r>
        <w:t>鉴定原则</w:t>
      </w:r>
      <w:bookmarkEnd w:id="5"/>
      <w:bookmarkEnd w:id="6"/>
    </w:p>
    <w:p>
      <w:pPr>
        <w:rPr>
          <w:rFonts w:hint="eastAsia"/>
        </w:rPr>
      </w:pPr>
      <w:r>
        <w:rPr>
          <w:rFonts w:hint="eastAsia"/>
        </w:rPr>
        <w:t xml:space="preserve">    </w:t>
      </w:r>
      <w:r>
        <w:t>应以损伤治疗后果或者结局为依据，</w:t>
      </w:r>
      <w:r>
        <w:rPr>
          <w:rFonts w:hint="eastAsia"/>
        </w:rPr>
        <w:t>客观评价组织器官缺失和/或功能障碍程度，科学</w:t>
      </w:r>
      <w:r>
        <w:t>分析损伤与残疾之间的</w:t>
      </w:r>
      <w:r>
        <w:rPr>
          <w:rFonts w:hint="eastAsia"/>
        </w:rPr>
        <w:t>因果</w:t>
      </w:r>
      <w:r>
        <w:t>关系，实事求是地进行鉴定。</w:t>
      </w:r>
    </w:p>
    <w:p>
      <w:pPr>
        <w:pStyle w:val="10"/>
        <w:rPr>
          <w:rFonts w:eastAsia="Times New Roman"/>
        </w:rPr>
      </w:pPr>
      <w:r>
        <w:rPr>
          <w:rFonts w:hint="eastAsia"/>
        </w:rPr>
        <w:t>受伤人员符合两处以上致残程度等级者，鉴定意见中应该分别写明各处的致残程度等级。</w:t>
      </w:r>
    </w:p>
    <w:p>
      <w:pPr>
        <w:pStyle w:val="11"/>
        <w:spacing w:before="120" w:after="120"/>
        <w:ind w:left="210" w:right="210"/>
      </w:pPr>
      <w:bookmarkStart w:id="7" w:name="_Toc384919716"/>
      <w:bookmarkStart w:id="8" w:name="_Toc386380656"/>
      <w:r>
        <w:t>鉴定时机</w:t>
      </w:r>
      <w:bookmarkEnd w:id="7"/>
      <w:bookmarkEnd w:id="8"/>
    </w:p>
    <w:p>
      <w:pPr>
        <w:rPr>
          <w:rFonts w:eastAsia="Times New Roman"/>
        </w:rPr>
      </w:pPr>
      <w:r>
        <w:rPr>
          <w:rFonts w:hint="eastAsia"/>
        </w:rPr>
        <w:t xml:space="preserve">    </w:t>
      </w:r>
      <w:r>
        <w:t>应</w:t>
      </w:r>
      <w:r>
        <w:rPr>
          <w:rFonts w:hint="eastAsia"/>
        </w:rPr>
        <w:t>在</w:t>
      </w:r>
      <w:r>
        <w:t>原发性损伤</w:t>
      </w:r>
      <w:r>
        <w:rPr>
          <w:rFonts w:hint="eastAsia"/>
        </w:rPr>
        <w:t>及其与之确有关联</w:t>
      </w:r>
      <w:r>
        <w:t>的并发症治疗终结</w:t>
      </w:r>
      <w:r>
        <w:rPr>
          <w:rFonts w:hint="eastAsia"/>
        </w:rPr>
        <w:t>或者临床治疗效果</w:t>
      </w:r>
      <w:r>
        <w:t>稳定</w:t>
      </w:r>
      <w:r>
        <w:rPr>
          <w:rFonts w:hint="eastAsia"/>
        </w:rPr>
        <w:t>后进行鉴定。</w:t>
      </w:r>
    </w:p>
    <w:p>
      <w:pPr>
        <w:pStyle w:val="11"/>
        <w:spacing w:before="120" w:after="120"/>
        <w:ind w:left="210" w:right="210"/>
        <w:rPr>
          <w:rFonts w:hint="eastAsia"/>
        </w:rPr>
      </w:pPr>
      <w:bookmarkStart w:id="9" w:name="_Toc386380658"/>
      <w:bookmarkStart w:id="10" w:name="_Toc384919718"/>
      <w:r>
        <w:rPr>
          <w:rFonts w:hint="eastAsia"/>
        </w:rPr>
        <w:t>伤病关系处理</w:t>
      </w:r>
    </w:p>
    <w:p>
      <w:pPr>
        <w:pStyle w:val="12"/>
        <w:numPr>
          <w:numId w:val="0"/>
        </w:numPr>
        <w:spacing w:before="0" w:beforeLines="0" w:after="0" w:afterLines="0"/>
        <w:ind w:right="61" w:rightChars="29" w:firstLine="424" w:firstLineChars="202"/>
        <w:jc w:val="both"/>
        <w:rPr>
          <w:rFonts w:hint="eastAsia" w:ascii="宋体" w:hAnsi="宋体" w:eastAsia="宋体"/>
        </w:rPr>
      </w:pPr>
      <w:r>
        <w:rPr>
          <w:rFonts w:hint="eastAsia" w:ascii="宋体" w:hAnsi="宋体" w:eastAsia="宋体"/>
        </w:rPr>
        <w:t>当损伤与原有伤、病共存时，应分析损伤与残疾后果之间的因果关系。</w:t>
      </w:r>
      <w:r>
        <w:rPr>
          <w:rFonts w:ascii="Arial" w:hAnsi="Arial" w:eastAsia="宋体" w:cs="Arial"/>
          <w:color w:val="000000"/>
          <w:shd w:val="clear" w:color="auto" w:fill="FFFFFF"/>
        </w:rPr>
        <w:t>根据损伤在残疾后果中的</w:t>
      </w:r>
      <w:r>
        <w:rPr>
          <w:rFonts w:hint="eastAsia" w:ascii="Arial" w:hAnsi="Arial" w:eastAsia="宋体" w:cs="Arial"/>
          <w:color w:val="000000"/>
          <w:shd w:val="clear" w:color="auto" w:fill="FFFFFF"/>
        </w:rPr>
        <w:t>作</w:t>
      </w:r>
      <w:r>
        <w:rPr>
          <w:rFonts w:ascii="Arial" w:hAnsi="Arial" w:eastAsia="宋体" w:cs="Arial"/>
          <w:color w:val="000000"/>
          <w:shd w:val="clear" w:color="auto" w:fill="FFFFFF"/>
        </w:rPr>
        <w:t>用力大小确定因果关系</w:t>
      </w:r>
      <w:r>
        <w:rPr>
          <w:rFonts w:hint="eastAsia" w:ascii="宋体" w:hAnsi="宋体" w:eastAsia="宋体"/>
        </w:rPr>
        <w:t>的不同形式，可依次分别表述为：完全作用、主要作用、同等作用、次要作用、轻微作用、没有作用。</w:t>
      </w:r>
    </w:p>
    <w:p>
      <w:pPr>
        <w:pStyle w:val="10"/>
        <w:rPr>
          <w:rFonts w:hint="eastAsia"/>
        </w:rPr>
      </w:pPr>
      <w:r>
        <w:rPr>
          <w:rFonts w:hint="eastAsia"/>
        </w:rPr>
        <w:t>除损伤“没有作用”以外，均应按照实际残情鉴定致残程度等级，同时说明损伤与残疾后果之间的因果关系；判定损伤“没有作用”的，不应进行致残程度鉴定。</w:t>
      </w:r>
    </w:p>
    <w:p>
      <w:pPr>
        <w:pStyle w:val="11"/>
        <w:spacing w:before="120" w:after="120"/>
        <w:ind w:left="210" w:right="210"/>
        <w:rPr>
          <w:rFonts w:eastAsia="Times New Roman"/>
        </w:rPr>
      </w:pPr>
      <w:r>
        <w:t>致残等级划分</w:t>
      </w:r>
      <w:bookmarkEnd w:id="9"/>
      <w:bookmarkEnd w:id="10"/>
    </w:p>
    <w:p>
      <w:pPr>
        <w:ind w:firstLine="420"/>
        <w:rPr>
          <w:rFonts w:hint="eastAsia" w:ascii="宋体" w:hAnsi="宋体"/>
        </w:rPr>
      </w:pPr>
      <w:r>
        <w:rPr>
          <w:rFonts w:hint="eastAsia" w:ascii="宋体" w:hAnsi="宋体"/>
        </w:rPr>
        <w:t>本标准将人体损伤致残程度划分为10个等级，从一级（人体致残率</w:t>
      </w:r>
      <w:r>
        <w:rPr>
          <w:rFonts w:ascii="宋体" w:hAnsi="宋体"/>
        </w:rPr>
        <w:t>100%</w:t>
      </w:r>
      <w:r>
        <w:rPr>
          <w:rFonts w:hint="eastAsia" w:ascii="宋体" w:hAnsi="宋体"/>
        </w:rPr>
        <w:t>）到十级（人体致残率</w:t>
      </w:r>
      <w:r>
        <w:rPr>
          <w:rFonts w:ascii="宋体" w:hAnsi="宋体"/>
        </w:rPr>
        <w:t>10%</w:t>
      </w:r>
      <w:r>
        <w:rPr>
          <w:rFonts w:hint="eastAsia" w:ascii="宋体" w:hAnsi="宋体"/>
        </w:rPr>
        <w:t>），每级致残率相差</w:t>
      </w:r>
      <w:r>
        <w:rPr>
          <w:rFonts w:ascii="宋体" w:hAnsi="宋体"/>
        </w:rPr>
        <w:t>10%</w:t>
      </w:r>
      <w:r>
        <w:rPr>
          <w:rFonts w:hint="eastAsia" w:ascii="宋体" w:hAnsi="宋体"/>
        </w:rPr>
        <w:t>。致残程度等级划分依据见附录</w:t>
      </w:r>
      <w:r>
        <w:rPr>
          <w:rFonts w:ascii="宋体" w:hAnsi="宋体"/>
        </w:rPr>
        <w:t>A</w:t>
      </w:r>
      <w:r>
        <w:rPr>
          <w:rFonts w:hint="eastAsia" w:ascii="宋体" w:hAnsi="宋体"/>
        </w:rPr>
        <w:t>。</w:t>
      </w:r>
    </w:p>
    <w:p>
      <w:pPr>
        <w:pStyle w:val="11"/>
        <w:spacing w:before="120" w:after="120"/>
        <w:ind w:left="210" w:right="210"/>
        <w:rPr>
          <w:rFonts w:eastAsia="Times New Roman"/>
        </w:rPr>
      </w:pPr>
      <w:r>
        <w:rPr>
          <w:rFonts w:hint="eastAsia"/>
        </w:rPr>
        <w:t>判断依据</w:t>
      </w:r>
    </w:p>
    <w:p>
      <w:pPr>
        <w:ind w:firstLine="420"/>
        <w:rPr>
          <w:rFonts w:hint="eastAsia" w:ascii="宋体" w:hAnsi="宋体"/>
        </w:rPr>
      </w:pPr>
      <w:r>
        <w:rPr>
          <w:rFonts w:hint="eastAsia" w:ascii="宋体" w:hAnsi="宋体"/>
        </w:rPr>
        <w:t>依据人体组织器官结构破坏、功能障碍及其对医疗、护理的依赖程度，适当考虑由于残疾引起的社会交往和心理因素影响，综合判定致残程度等级。</w:t>
      </w:r>
    </w:p>
    <w:p>
      <w:pPr>
        <w:pStyle w:val="9"/>
        <w:spacing w:before="240" w:after="240"/>
      </w:pPr>
      <w:bookmarkStart w:id="11" w:name="_Toc386380659"/>
      <w:bookmarkStart w:id="12" w:name="_Toc384919719"/>
      <w:r>
        <w:t>致残</w:t>
      </w:r>
      <w:r>
        <w:rPr>
          <w:rFonts w:hint="eastAsia"/>
        </w:rPr>
        <w:t>程度分级</w:t>
      </w:r>
      <w:bookmarkEnd w:id="11"/>
      <w:bookmarkEnd w:id="12"/>
    </w:p>
    <w:p>
      <w:pPr>
        <w:pStyle w:val="11"/>
        <w:spacing w:before="120" w:after="120"/>
        <w:ind w:left="210" w:right="210"/>
        <w:rPr>
          <w:rFonts w:eastAsia="Times New Roman"/>
        </w:rPr>
      </w:pPr>
      <w:bookmarkStart w:id="13" w:name="_Toc384919720"/>
      <w:bookmarkStart w:id="14" w:name="_Toc386380660"/>
      <w:r>
        <w:t>一级</w:t>
      </w:r>
      <w:bookmarkEnd w:id="13"/>
      <w:bookmarkEnd w:id="14"/>
    </w:p>
    <w:p>
      <w:pPr>
        <w:pStyle w:val="12"/>
        <w:spacing w:before="120" w:after="120"/>
        <w:ind w:left="210" w:right="210"/>
        <w:rPr>
          <w:rFonts w:hint="eastAsia"/>
        </w:rPr>
      </w:pPr>
      <w:bookmarkStart w:id="15" w:name="OLE_LINK1"/>
      <w:r>
        <w:rPr>
          <w:rFonts w:hint="eastAsia"/>
        </w:rPr>
        <w:t>颅脑、脊髓及周围神经损伤</w:t>
      </w:r>
    </w:p>
    <w:p>
      <w:pPr>
        <w:pStyle w:val="13"/>
        <w:tabs>
          <w:tab w:val="left" w:pos="720"/>
          <w:tab w:val="left" w:pos="900"/>
        </w:tabs>
        <w:ind w:hanging="590"/>
        <w:rPr>
          <w:rFonts w:hint="eastAsia"/>
        </w:rPr>
      </w:pPr>
      <w:r>
        <w:rPr>
          <w:rFonts w:hint="eastAsia"/>
        </w:rPr>
        <w:t>持续性</w:t>
      </w:r>
      <w:r>
        <w:t>植物</w:t>
      </w:r>
      <w:r>
        <w:rPr>
          <w:rFonts w:hint="eastAsia"/>
        </w:rPr>
        <w:t>生存</w:t>
      </w:r>
      <w:r>
        <w:t>状态</w:t>
      </w:r>
      <w:r>
        <w:rPr>
          <w:rFonts w:hint="eastAsia"/>
        </w:rPr>
        <w:t>；</w:t>
      </w:r>
    </w:p>
    <w:p>
      <w:pPr>
        <w:pStyle w:val="13"/>
        <w:tabs>
          <w:tab w:val="left" w:pos="720"/>
          <w:tab w:val="left" w:pos="900"/>
        </w:tabs>
        <w:ind w:hanging="590"/>
        <w:rPr>
          <w:rFonts w:hint="eastAsia"/>
        </w:rPr>
      </w:pPr>
      <w:r>
        <w:t>精神障碍或者极重度智能减退，日常生活完全不能自理</w:t>
      </w:r>
      <w:r>
        <w:rPr>
          <w:rFonts w:hint="eastAsia"/>
        </w:rPr>
        <w:t>；</w:t>
      </w:r>
    </w:p>
    <w:p>
      <w:pPr>
        <w:pStyle w:val="13"/>
        <w:tabs>
          <w:tab w:val="left" w:pos="720"/>
          <w:tab w:val="left" w:pos="900"/>
        </w:tabs>
        <w:ind w:hanging="590"/>
        <w:rPr>
          <w:rFonts w:hint="eastAsia"/>
        </w:rPr>
      </w:pPr>
      <w:r>
        <w:t>四肢瘫（</w:t>
      </w:r>
      <w:r>
        <w:rPr>
          <w:rFonts w:hint="eastAsia"/>
        </w:rPr>
        <w:t>肌力3级</w:t>
      </w:r>
      <w:r>
        <w:rPr>
          <w:rFonts w:hint="eastAsia" w:hAnsi="宋体"/>
        </w:rPr>
        <w:t>以下</w:t>
      </w:r>
      <w:r>
        <w:t>）</w:t>
      </w:r>
      <w:r>
        <w:rPr>
          <w:rFonts w:hint="eastAsia"/>
        </w:rPr>
        <w:t>或者三肢瘫（肌力</w:t>
      </w:r>
      <w:r>
        <w:rPr>
          <w:rFonts w:hint="eastAsia" w:hAnsi="宋体"/>
        </w:rPr>
        <w:t>2</w:t>
      </w:r>
      <w:r>
        <w:rPr>
          <w:rFonts w:hint="eastAsia"/>
        </w:rPr>
        <w:t>级</w:t>
      </w:r>
      <w:r>
        <w:rPr>
          <w:rFonts w:hint="eastAsia" w:hAnsi="宋体"/>
        </w:rPr>
        <w:t>以下</w:t>
      </w:r>
      <w:r>
        <w:rPr>
          <w:rFonts w:hint="eastAsia"/>
        </w:rPr>
        <w:t>）；</w:t>
      </w:r>
    </w:p>
    <w:p>
      <w:pPr>
        <w:pStyle w:val="13"/>
        <w:tabs>
          <w:tab w:val="left" w:pos="720"/>
          <w:tab w:val="left" w:pos="900"/>
        </w:tabs>
        <w:ind w:hanging="590"/>
        <w:rPr>
          <w:rFonts w:hint="eastAsia"/>
        </w:rPr>
      </w:pPr>
      <w:r>
        <w:rPr>
          <w:rFonts w:hint="eastAsia"/>
        </w:rPr>
        <w:t>截瘫（肌力2级以下）伴</w:t>
      </w:r>
      <w:r>
        <w:t>重度排便</w:t>
      </w:r>
      <w:r>
        <w:rPr>
          <w:rFonts w:hint="eastAsia"/>
        </w:rPr>
        <w:t>功能障碍与重度</w:t>
      </w:r>
      <w:r>
        <w:t>排尿功能障碍</w:t>
      </w:r>
      <w:r>
        <w:rPr>
          <w:rFonts w:hint="eastAsia"/>
        </w:rPr>
        <w:t>。</w:t>
      </w:r>
    </w:p>
    <w:bookmarkEnd w:id="15"/>
    <w:p>
      <w:pPr>
        <w:pStyle w:val="12"/>
        <w:spacing w:before="120" w:after="120"/>
        <w:ind w:left="210" w:right="210"/>
        <w:rPr>
          <w:rFonts w:hint="eastAsia"/>
        </w:rPr>
      </w:pPr>
      <w:bookmarkStart w:id="16" w:name="OLE_LINK2"/>
      <w:r>
        <w:rPr>
          <w:rFonts w:hint="eastAsia"/>
        </w:rPr>
        <w:t>颈部及胸部损伤</w:t>
      </w:r>
    </w:p>
    <w:p>
      <w:pPr>
        <w:pStyle w:val="13"/>
        <w:numPr>
          <w:ilvl w:val="1"/>
          <w:numId w:val="6"/>
        </w:numPr>
        <w:tabs>
          <w:tab w:val="left" w:pos="720"/>
          <w:tab w:val="left" w:pos="900"/>
        </w:tabs>
        <w:ind w:left="720" w:hanging="180"/>
      </w:pPr>
      <w:r>
        <w:t>心功能不全，心功能</w:t>
      </w:r>
      <w:r>
        <w:rPr>
          <w:rFonts w:hint="eastAsia" w:hAnsi="宋体" w:cs="宋体"/>
        </w:rPr>
        <w:t>Ⅳ</w:t>
      </w:r>
      <w:r>
        <w:t>级；</w:t>
      </w:r>
    </w:p>
    <w:p>
      <w:pPr>
        <w:pStyle w:val="13"/>
        <w:tabs>
          <w:tab w:val="left" w:pos="720"/>
          <w:tab w:val="left" w:pos="900"/>
        </w:tabs>
        <w:ind w:left="720" w:hanging="180"/>
      </w:pPr>
      <w:r>
        <w:t>严重器质性心律失常，心功能</w:t>
      </w:r>
      <w:r>
        <w:rPr>
          <w:rFonts w:hint="eastAsia" w:hAnsi="宋体" w:cs="宋体"/>
        </w:rPr>
        <w:t>Ⅲ</w:t>
      </w:r>
      <w:r>
        <w:t>级；</w:t>
      </w:r>
    </w:p>
    <w:p>
      <w:pPr>
        <w:pStyle w:val="13"/>
        <w:tabs>
          <w:tab w:val="left" w:pos="720"/>
          <w:tab w:val="left" w:pos="900"/>
        </w:tabs>
        <w:ind w:left="720" w:hanging="180"/>
      </w:pPr>
      <w:r>
        <w:t>心脏移植术后，心功能</w:t>
      </w:r>
      <w:r>
        <w:rPr>
          <w:rFonts w:hint="eastAsia" w:hAnsi="宋体" w:cs="宋体"/>
        </w:rPr>
        <w:t>Ⅲ</w:t>
      </w:r>
      <w:r>
        <w:t>级；</w:t>
      </w:r>
    </w:p>
    <w:p>
      <w:pPr>
        <w:pStyle w:val="13"/>
        <w:tabs>
          <w:tab w:val="left" w:pos="720"/>
          <w:tab w:val="left" w:pos="900"/>
        </w:tabs>
        <w:ind w:left="720" w:hanging="180"/>
        <w:rPr>
          <w:rFonts w:hint="eastAsia"/>
        </w:rPr>
      </w:pPr>
      <w:r>
        <w:t>心肺联合移植术后</w:t>
      </w:r>
      <w:r>
        <w:rPr>
          <w:rFonts w:hint="eastAsia"/>
        </w:rPr>
        <w:t>；</w:t>
      </w:r>
    </w:p>
    <w:p>
      <w:pPr>
        <w:pStyle w:val="13"/>
        <w:tabs>
          <w:tab w:val="left" w:pos="720"/>
          <w:tab w:val="left" w:pos="900"/>
        </w:tabs>
        <w:ind w:left="720" w:hanging="180"/>
      </w:pPr>
      <w:r>
        <w:rPr>
          <w:rFonts w:hint="eastAsia"/>
        </w:rPr>
        <w:t>肺移植术后呼吸困难（极重度）。</w:t>
      </w:r>
    </w:p>
    <w:bookmarkEnd w:id="16"/>
    <w:p>
      <w:pPr>
        <w:pStyle w:val="12"/>
        <w:spacing w:before="120" w:after="120"/>
        <w:ind w:left="210" w:right="210"/>
        <w:rPr>
          <w:rFonts w:hint="eastAsia"/>
        </w:rPr>
      </w:pPr>
      <w:bookmarkStart w:id="17" w:name="OLE_LINK3"/>
      <w:r>
        <w:rPr>
          <w:rFonts w:hint="eastAsia"/>
        </w:rPr>
        <w:t>腹部损伤</w:t>
      </w:r>
    </w:p>
    <w:p>
      <w:pPr>
        <w:pStyle w:val="13"/>
        <w:numPr>
          <w:ilvl w:val="1"/>
          <w:numId w:val="7"/>
        </w:numPr>
        <w:tabs>
          <w:tab w:val="left" w:pos="720"/>
          <w:tab w:val="left" w:pos="900"/>
        </w:tabs>
        <w:ind w:left="900" w:hanging="360"/>
      </w:pPr>
      <w:r>
        <w:t>原位肝移植</w:t>
      </w:r>
      <w:r>
        <w:rPr>
          <w:rFonts w:hint="eastAsia"/>
        </w:rPr>
        <w:t>术后肝衰竭晚期</w:t>
      </w:r>
      <w:r>
        <w:t>；</w:t>
      </w:r>
    </w:p>
    <w:p>
      <w:pPr>
        <w:pStyle w:val="13"/>
        <w:tabs>
          <w:tab w:val="left" w:pos="720"/>
          <w:tab w:val="left" w:pos="900"/>
        </w:tabs>
        <w:ind w:left="900" w:hanging="360"/>
      </w:pPr>
      <w:r>
        <w:rPr>
          <w:rFonts w:hint="eastAsia"/>
        </w:rPr>
        <w:t>双肾切除术后或者孤肾切除术后，需透析治疗维持生命；肾移植术后肾衰竭。</w:t>
      </w:r>
    </w:p>
    <w:bookmarkEnd w:id="17"/>
    <w:p>
      <w:pPr>
        <w:pStyle w:val="12"/>
        <w:spacing w:before="120" w:after="120"/>
        <w:ind w:left="210" w:right="210"/>
        <w:rPr>
          <w:rFonts w:hint="eastAsia"/>
        </w:rPr>
      </w:pPr>
      <w:bookmarkStart w:id="18" w:name="OLE_LINK4"/>
      <w:r>
        <w:rPr>
          <w:rFonts w:hint="eastAsia"/>
        </w:rPr>
        <w:t>脊柱、骨盆及四肢损伤</w:t>
      </w:r>
    </w:p>
    <w:p>
      <w:pPr>
        <w:pStyle w:val="13"/>
        <w:numPr>
          <w:ilvl w:val="1"/>
          <w:numId w:val="8"/>
        </w:numPr>
        <w:tabs>
          <w:tab w:val="left" w:pos="720"/>
          <w:tab w:val="left" w:pos="900"/>
        </w:tabs>
        <w:ind w:left="720" w:hanging="180"/>
        <w:rPr>
          <w:rFonts w:hint="eastAsia"/>
        </w:rPr>
      </w:pPr>
      <w:r>
        <w:t>三肢缺失</w:t>
      </w:r>
      <w:r>
        <w:rPr>
          <w:rFonts w:hint="eastAsia"/>
        </w:rPr>
        <w:t>（</w:t>
      </w:r>
      <w:r>
        <w:t>上肢</w:t>
      </w:r>
      <w:r>
        <w:rPr>
          <w:rFonts w:hint="eastAsia"/>
        </w:rPr>
        <w:t>肘</w:t>
      </w:r>
      <w:r>
        <w:t>关节以上</w:t>
      </w:r>
      <w:r>
        <w:rPr>
          <w:rFonts w:hint="eastAsia"/>
        </w:rPr>
        <w:t>，</w:t>
      </w:r>
      <w:r>
        <w:t>下肢</w:t>
      </w:r>
      <w:r>
        <w:rPr>
          <w:rFonts w:hint="eastAsia"/>
        </w:rPr>
        <w:t>膝</w:t>
      </w:r>
      <w:r>
        <w:t>关节以上</w:t>
      </w:r>
      <w:r>
        <w:rPr>
          <w:rFonts w:hint="eastAsia"/>
        </w:rPr>
        <w:t>）；</w:t>
      </w:r>
    </w:p>
    <w:p>
      <w:pPr>
        <w:pStyle w:val="13"/>
        <w:tabs>
          <w:tab w:val="left" w:pos="720"/>
          <w:tab w:val="left" w:pos="900"/>
        </w:tabs>
        <w:ind w:left="896" w:hanging="357"/>
        <w:rPr>
          <w:rFonts w:hint="eastAsia"/>
        </w:rPr>
      </w:pPr>
      <w:r>
        <w:rPr>
          <w:rFonts w:hint="eastAsia"/>
        </w:rPr>
        <w:t>二肢缺失（上肢肘关节以上，下肢膝关节以上），第三肢各大关节功能丧失均达75%；</w:t>
      </w:r>
    </w:p>
    <w:p>
      <w:pPr>
        <w:pStyle w:val="13"/>
        <w:tabs>
          <w:tab w:val="left" w:pos="720"/>
          <w:tab w:val="left" w:pos="900"/>
        </w:tabs>
        <w:ind w:left="896" w:hanging="357"/>
        <w:rPr>
          <w:rFonts w:hint="eastAsia"/>
        </w:rPr>
      </w:pPr>
      <w:r>
        <w:rPr>
          <w:rFonts w:hint="eastAsia"/>
        </w:rPr>
        <w:t>二肢缺失（上肢肘关节以上，下肢膝关节以上），第三肢任二大关节均强直固定或者功能丧失均达90%。</w:t>
      </w:r>
    </w:p>
    <w:bookmarkEnd w:id="18"/>
    <w:p>
      <w:pPr>
        <w:pStyle w:val="11"/>
        <w:spacing w:before="120" w:after="120"/>
        <w:ind w:left="210" w:right="210"/>
      </w:pPr>
      <w:bookmarkStart w:id="19" w:name="_Toc384919721"/>
      <w:bookmarkStart w:id="20" w:name="_Toc386380661"/>
      <w:r>
        <w:t>二级</w:t>
      </w:r>
      <w:bookmarkEnd w:id="19"/>
      <w:bookmarkEnd w:id="20"/>
    </w:p>
    <w:p>
      <w:pPr>
        <w:pStyle w:val="12"/>
        <w:spacing w:before="120" w:after="120"/>
        <w:ind w:left="210" w:right="210"/>
        <w:rPr>
          <w:rFonts w:hint="eastAsia"/>
        </w:rPr>
      </w:pPr>
      <w:bookmarkStart w:id="21" w:name="OLE_LINK6"/>
      <w:bookmarkStart w:id="22" w:name="OLE_LINK5"/>
      <w:r>
        <w:rPr>
          <w:rFonts w:hint="eastAsia"/>
        </w:rPr>
        <w:t>颅脑、脊髓及周围神经损伤</w:t>
      </w:r>
    </w:p>
    <w:p>
      <w:pPr>
        <w:pStyle w:val="13"/>
        <w:numPr>
          <w:ilvl w:val="1"/>
          <w:numId w:val="9"/>
        </w:numPr>
        <w:tabs>
          <w:tab w:val="left" w:pos="720"/>
          <w:tab w:val="left" w:pos="900"/>
        </w:tabs>
        <w:ind w:hanging="590"/>
      </w:pPr>
      <w:r>
        <w:t>精神障碍或者重度智能减退，</w:t>
      </w:r>
      <w:r>
        <w:rPr>
          <w:rFonts w:hint="eastAsia"/>
        </w:rPr>
        <w:t>日常生活随时需有人帮助</w:t>
      </w:r>
      <w:r>
        <w:t>；</w:t>
      </w:r>
    </w:p>
    <w:p>
      <w:pPr>
        <w:pStyle w:val="13"/>
        <w:tabs>
          <w:tab w:val="left" w:pos="720"/>
          <w:tab w:val="left" w:pos="900"/>
        </w:tabs>
        <w:ind w:hanging="590"/>
      </w:pPr>
      <w:r>
        <w:rPr>
          <w:rFonts w:hint="eastAsia"/>
        </w:rPr>
        <w:t>三肢瘫（肌</w:t>
      </w:r>
      <w:r>
        <w:t>力</w:t>
      </w:r>
      <w:r>
        <w:rPr>
          <w:rFonts w:hint="eastAsia"/>
        </w:rPr>
        <w:t>3级以下</w:t>
      </w:r>
      <w:r>
        <w:t>)；</w:t>
      </w:r>
    </w:p>
    <w:p>
      <w:pPr>
        <w:pStyle w:val="13"/>
        <w:tabs>
          <w:tab w:val="left" w:pos="720"/>
          <w:tab w:val="left" w:pos="900"/>
        </w:tabs>
        <w:ind w:hanging="590"/>
        <w:rPr>
          <w:rFonts w:hint="eastAsia"/>
        </w:rPr>
      </w:pPr>
      <w:r>
        <w:rPr>
          <w:rFonts w:hint="eastAsia"/>
        </w:rPr>
        <w:t>偏瘫（肌力</w:t>
      </w:r>
      <w:r>
        <w:rPr>
          <w:rFonts w:hint="eastAsia" w:hAnsi="宋体"/>
        </w:rPr>
        <w:t>2</w:t>
      </w:r>
      <w:r>
        <w:rPr>
          <w:rFonts w:hint="eastAsia"/>
        </w:rPr>
        <w:t>级以下</w:t>
      </w:r>
      <w:r>
        <w:t>）</w:t>
      </w:r>
      <w:r>
        <w:rPr>
          <w:rFonts w:hint="eastAsia"/>
        </w:rPr>
        <w:t>；</w:t>
      </w:r>
    </w:p>
    <w:p>
      <w:pPr>
        <w:pStyle w:val="13"/>
        <w:tabs>
          <w:tab w:val="left" w:pos="720"/>
          <w:tab w:val="left" w:pos="900"/>
        </w:tabs>
        <w:ind w:hanging="590"/>
        <w:rPr>
          <w:rFonts w:hint="eastAsia"/>
        </w:rPr>
      </w:pPr>
      <w:r>
        <w:rPr>
          <w:rFonts w:hint="eastAsia"/>
        </w:rPr>
        <w:t>截瘫（肌力</w:t>
      </w:r>
      <w:r>
        <w:rPr>
          <w:rFonts w:hint="eastAsia" w:hAnsi="宋体"/>
        </w:rPr>
        <w:t>2</w:t>
      </w:r>
      <w:r>
        <w:rPr>
          <w:rFonts w:hint="eastAsia"/>
        </w:rPr>
        <w:t>级以下）；</w:t>
      </w:r>
    </w:p>
    <w:p>
      <w:pPr>
        <w:pStyle w:val="13"/>
        <w:tabs>
          <w:tab w:val="left" w:pos="720"/>
          <w:tab w:val="left" w:pos="900"/>
        </w:tabs>
        <w:ind w:hanging="590"/>
        <w:rPr>
          <w:rFonts w:hint="eastAsia" w:hAnsi="宋体"/>
        </w:rPr>
      </w:pPr>
      <w:r>
        <w:t>非肢体瘫运动障碍（重度）</w:t>
      </w:r>
      <w:r>
        <w:rPr>
          <w:rFonts w:hint="eastAsia"/>
        </w:rPr>
        <w:t>。</w:t>
      </w:r>
    </w:p>
    <w:bookmarkEnd w:id="21"/>
    <w:bookmarkEnd w:id="22"/>
    <w:p>
      <w:pPr>
        <w:pStyle w:val="12"/>
        <w:spacing w:before="120" w:after="120"/>
        <w:ind w:left="210" w:right="210"/>
        <w:rPr>
          <w:rFonts w:hint="eastAsia"/>
        </w:rPr>
      </w:pPr>
      <w:bookmarkStart w:id="23" w:name="OLE_LINK7"/>
      <w:r>
        <w:rPr>
          <w:rFonts w:hint="eastAsia"/>
        </w:rPr>
        <w:t>头面部损伤</w:t>
      </w:r>
    </w:p>
    <w:p>
      <w:pPr>
        <w:pStyle w:val="13"/>
        <w:numPr>
          <w:ilvl w:val="1"/>
          <w:numId w:val="10"/>
        </w:numPr>
        <w:tabs>
          <w:tab w:val="left" w:pos="720"/>
          <w:tab w:val="left" w:pos="900"/>
        </w:tabs>
        <w:ind w:left="720" w:hanging="180"/>
        <w:rPr>
          <w:rFonts w:hint="eastAsia"/>
        </w:rPr>
      </w:pPr>
      <w:r>
        <w:rPr>
          <w:rFonts w:hint="eastAsia"/>
        </w:rPr>
        <w:t>容貌毁损（重度）；</w:t>
      </w:r>
    </w:p>
    <w:p>
      <w:pPr>
        <w:pStyle w:val="13"/>
        <w:tabs>
          <w:tab w:val="left" w:pos="720"/>
          <w:tab w:val="left" w:pos="900"/>
        </w:tabs>
        <w:ind w:left="720" w:hanging="180"/>
      </w:pPr>
      <w:r>
        <w:t>上颌骨或者下颌骨完全缺损；</w:t>
      </w:r>
    </w:p>
    <w:p>
      <w:pPr>
        <w:pStyle w:val="13"/>
        <w:tabs>
          <w:tab w:val="left" w:pos="720"/>
          <w:tab w:val="left" w:pos="900"/>
        </w:tabs>
        <w:ind w:left="720" w:hanging="180"/>
      </w:pPr>
      <w:r>
        <w:t>双眼球缺失</w:t>
      </w:r>
      <w:r>
        <w:rPr>
          <w:rFonts w:hint="eastAsia"/>
        </w:rPr>
        <w:t>或者</w:t>
      </w:r>
      <w:r>
        <w:t>萎缩；</w:t>
      </w:r>
    </w:p>
    <w:p>
      <w:pPr>
        <w:pStyle w:val="13"/>
        <w:tabs>
          <w:tab w:val="left" w:pos="720"/>
          <w:tab w:val="left" w:pos="900"/>
        </w:tabs>
        <w:ind w:left="720" w:hanging="180"/>
        <w:rPr>
          <w:rFonts w:hint="eastAsia"/>
        </w:rPr>
      </w:pPr>
      <w:r>
        <w:t>双眼盲目5级</w:t>
      </w:r>
      <w:r>
        <w:rPr>
          <w:rFonts w:hint="eastAsia"/>
        </w:rPr>
        <w:t>；</w:t>
      </w:r>
    </w:p>
    <w:p>
      <w:pPr>
        <w:pStyle w:val="13"/>
        <w:tabs>
          <w:tab w:val="left" w:pos="720"/>
          <w:tab w:val="left" w:pos="900"/>
        </w:tabs>
        <w:ind w:left="720" w:hanging="180"/>
        <w:rPr>
          <w:rFonts w:hint="eastAsia"/>
        </w:rPr>
      </w:pPr>
      <w:r>
        <w:rPr>
          <w:rFonts w:hint="eastAsia"/>
        </w:rPr>
        <w:t>双侧眼睑严重畸形（或者</w:t>
      </w:r>
      <w:r>
        <w:t>眼睑重度下垂，遮盖全部瞳孔</w:t>
      </w:r>
      <w:r>
        <w:rPr>
          <w:rFonts w:hint="eastAsia"/>
        </w:rPr>
        <w:t>），伴双眼盲目3级以上。</w:t>
      </w:r>
    </w:p>
    <w:bookmarkEnd w:id="23"/>
    <w:p>
      <w:pPr>
        <w:pStyle w:val="12"/>
        <w:spacing w:before="120" w:after="120"/>
        <w:ind w:left="210" w:right="210"/>
        <w:rPr>
          <w:rFonts w:hint="eastAsia"/>
        </w:rPr>
      </w:pPr>
      <w:bookmarkStart w:id="24" w:name="OLE_LINK8"/>
      <w:r>
        <w:rPr>
          <w:rFonts w:hint="eastAsia"/>
        </w:rPr>
        <w:t>颈部及胸部损伤</w:t>
      </w:r>
    </w:p>
    <w:p>
      <w:pPr>
        <w:pStyle w:val="13"/>
        <w:numPr>
          <w:ilvl w:val="1"/>
          <w:numId w:val="11"/>
        </w:numPr>
        <w:tabs>
          <w:tab w:val="left" w:pos="900"/>
        </w:tabs>
        <w:ind w:left="720" w:hanging="180"/>
      </w:pPr>
      <w:r>
        <w:t>呼吸困难（极重度）；</w:t>
      </w:r>
    </w:p>
    <w:p>
      <w:pPr>
        <w:pStyle w:val="13"/>
        <w:tabs>
          <w:tab w:val="left" w:pos="900"/>
        </w:tabs>
        <w:ind w:hanging="590"/>
      </w:pPr>
      <w:r>
        <w:t>心脏移植术后</w:t>
      </w:r>
      <w:r>
        <w:rPr>
          <w:rFonts w:hint="eastAsia"/>
        </w:rPr>
        <w:t>；</w:t>
      </w:r>
    </w:p>
    <w:p>
      <w:pPr>
        <w:pStyle w:val="13"/>
        <w:tabs>
          <w:tab w:val="left" w:pos="900"/>
        </w:tabs>
        <w:ind w:left="720" w:hanging="180"/>
      </w:pPr>
      <w:r>
        <w:t>肺移植术后</w:t>
      </w:r>
      <w:r>
        <w:rPr>
          <w:rFonts w:hint="eastAsia"/>
        </w:rPr>
        <w:t>。</w:t>
      </w:r>
    </w:p>
    <w:bookmarkEnd w:id="24"/>
    <w:p>
      <w:pPr>
        <w:pStyle w:val="12"/>
        <w:spacing w:before="120" w:after="120"/>
        <w:ind w:left="210" w:right="210"/>
        <w:rPr>
          <w:rFonts w:hint="eastAsia"/>
        </w:rPr>
      </w:pPr>
      <w:bookmarkStart w:id="25" w:name="OLE_LINK9"/>
      <w:r>
        <w:rPr>
          <w:rFonts w:hint="eastAsia"/>
        </w:rPr>
        <w:t>腹部损伤</w:t>
      </w:r>
    </w:p>
    <w:p>
      <w:pPr>
        <w:pStyle w:val="13"/>
        <w:numPr>
          <w:ilvl w:val="1"/>
          <w:numId w:val="12"/>
        </w:numPr>
        <w:tabs>
          <w:tab w:val="left" w:pos="720"/>
          <w:tab w:val="left" w:pos="900"/>
        </w:tabs>
        <w:ind w:left="720" w:hanging="180"/>
      </w:pPr>
      <w:r>
        <w:rPr>
          <w:rFonts w:hint="eastAsia"/>
        </w:rPr>
        <w:t>肝衰竭晚期</w:t>
      </w:r>
      <w:r>
        <w:t>；</w:t>
      </w:r>
    </w:p>
    <w:p>
      <w:pPr>
        <w:pStyle w:val="13"/>
        <w:tabs>
          <w:tab w:val="left" w:pos="720"/>
          <w:tab w:val="left" w:pos="900"/>
        </w:tabs>
        <w:ind w:left="720" w:hanging="180"/>
      </w:pPr>
      <w:r>
        <w:rPr>
          <w:rFonts w:hint="eastAsia"/>
        </w:rPr>
        <w:t>肾衰竭；</w:t>
      </w:r>
    </w:p>
    <w:bookmarkEnd w:id="25"/>
    <w:p>
      <w:pPr>
        <w:pStyle w:val="13"/>
        <w:tabs>
          <w:tab w:val="left" w:pos="720"/>
          <w:tab w:val="left" w:pos="900"/>
        </w:tabs>
        <w:ind w:left="720" w:hanging="180"/>
      </w:pPr>
      <w:bookmarkStart w:id="26" w:name="OLE_LINK11"/>
      <w:r>
        <w:t>小肠大部分切除术后，消化吸收功能丧失，完全依赖肠外营养</w:t>
      </w:r>
      <w:r>
        <w:rPr>
          <w:rFonts w:hint="eastAsia"/>
        </w:rPr>
        <w:t>。</w:t>
      </w:r>
    </w:p>
    <w:p>
      <w:pPr>
        <w:pStyle w:val="12"/>
        <w:spacing w:before="120" w:after="120"/>
        <w:ind w:left="210" w:right="210"/>
        <w:rPr>
          <w:rFonts w:hint="eastAsia"/>
        </w:rPr>
      </w:pPr>
      <w:r>
        <w:rPr>
          <w:rFonts w:hint="eastAsia"/>
        </w:rPr>
        <w:t>脊柱、骨盆及四肢损伤</w:t>
      </w:r>
    </w:p>
    <w:p>
      <w:pPr>
        <w:pStyle w:val="13"/>
        <w:numPr>
          <w:ilvl w:val="1"/>
          <w:numId w:val="13"/>
        </w:numPr>
        <w:tabs>
          <w:tab w:val="left" w:pos="900"/>
        </w:tabs>
        <w:ind w:hanging="590"/>
        <w:rPr>
          <w:rFonts w:hint="eastAsia"/>
        </w:rPr>
      </w:pPr>
      <w:r>
        <w:rPr>
          <w:rFonts w:hint="eastAsia"/>
          <w:szCs w:val="21"/>
        </w:rPr>
        <w:t>双</w:t>
      </w:r>
      <w:r>
        <w:rPr>
          <w:kern w:val="2"/>
          <w:szCs w:val="21"/>
        </w:rPr>
        <w:t>上肢肘关节以上</w:t>
      </w:r>
      <w:r>
        <w:rPr>
          <w:rFonts w:hint="eastAsia"/>
          <w:szCs w:val="21"/>
        </w:rPr>
        <w:t>缺失，或者一上肢肘关节以上缺失伴一</w:t>
      </w:r>
      <w:r>
        <w:rPr>
          <w:kern w:val="2"/>
          <w:szCs w:val="21"/>
        </w:rPr>
        <w:t>下肢膝关节以上</w:t>
      </w:r>
      <w:r>
        <w:rPr>
          <w:rFonts w:hint="eastAsia"/>
          <w:szCs w:val="21"/>
        </w:rPr>
        <w:t>缺失</w:t>
      </w:r>
      <w:r>
        <w:rPr>
          <w:rFonts w:hint="eastAsia"/>
        </w:rPr>
        <w:t>；</w:t>
      </w:r>
    </w:p>
    <w:p>
      <w:pPr>
        <w:pStyle w:val="13"/>
        <w:tabs>
          <w:tab w:val="left" w:pos="900"/>
        </w:tabs>
        <w:ind w:left="896" w:hanging="357"/>
        <w:rPr>
          <w:rFonts w:hint="eastAsia"/>
        </w:rPr>
      </w:pPr>
      <w:r>
        <w:t>一肢缺失</w:t>
      </w:r>
      <w:r>
        <w:rPr>
          <w:rFonts w:hint="eastAsia"/>
        </w:rPr>
        <w:t>（</w:t>
      </w:r>
      <w:r>
        <w:t>上肢肘关节以上，下肢膝关节以上</w:t>
      </w:r>
      <w:r>
        <w:rPr>
          <w:rFonts w:hint="eastAsia"/>
        </w:rPr>
        <w:t>）</w:t>
      </w:r>
      <w:r>
        <w:t>，</w:t>
      </w:r>
      <w:r>
        <w:rPr>
          <w:rFonts w:hint="eastAsia"/>
        </w:rPr>
        <w:t>其余任二</w:t>
      </w:r>
      <w:r>
        <w:t>肢</w:t>
      </w:r>
      <w:r>
        <w:rPr>
          <w:rFonts w:hint="eastAsia"/>
        </w:rPr>
        <w:t>体各有二大关节功能丧失均达75%；</w:t>
      </w:r>
    </w:p>
    <w:p>
      <w:pPr>
        <w:pStyle w:val="13"/>
        <w:tabs>
          <w:tab w:val="left" w:pos="900"/>
        </w:tabs>
        <w:ind w:hanging="590"/>
        <w:rPr>
          <w:rFonts w:hint="eastAsia"/>
        </w:rPr>
      </w:pPr>
      <w:r>
        <w:rPr>
          <w:rFonts w:hint="eastAsia"/>
        </w:rPr>
        <w:t>双上</w:t>
      </w:r>
      <w:r>
        <w:t>肢</w:t>
      </w:r>
      <w:r>
        <w:rPr>
          <w:rFonts w:hint="eastAsia"/>
        </w:rPr>
        <w:t>各大关节均强直固定或者功能丧失均达90%</w:t>
      </w:r>
      <w:r>
        <w:t>。</w:t>
      </w:r>
    </w:p>
    <w:p>
      <w:pPr>
        <w:pStyle w:val="12"/>
        <w:spacing w:before="120" w:after="120"/>
        <w:ind w:left="210" w:right="210"/>
        <w:rPr>
          <w:rFonts w:hint="eastAsia"/>
        </w:rPr>
      </w:pPr>
      <w:r>
        <w:rPr>
          <w:rFonts w:hint="eastAsia"/>
        </w:rPr>
        <w:t>体表及其他损伤</w:t>
      </w:r>
    </w:p>
    <w:p>
      <w:pPr>
        <w:pStyle w:val="13"/>
        <w:numPr>
          <w:ilvl w:val="1"/>
          <w:numId w:val="14"/>
        </w:numPr>
        <w:tabs>
          <w:tab w:val="left" w:pos="720"/>
          <w:tab w:val="left" w:pos="900"/>
        </w:tabs>
        <w:ind w:left="720" w:hanging="180"/>
      </w:pPr>
      <w:r>
        <w:t>皮肤瘢痕形成达体表面积90％；</w:t>
      </w:r>
    </w:p>
    <w:bookmarkEnd w:id="26"/>
    <w:p>
      <w:pPr>
        <w:pStyle w:val="13"/>
        <w:tabs>
          <w:tab w:val="left" w:pos="720"/>
          <w:tab w:val="left" w:pos="900"/>
        </w:tabs>
        <w:ind w:left="720" w:hanging="180"/>
        <w:rPr>
          <w:rFonts w:hint="eastAsia"/>
        </w:rPr>
      </w:pPr>
      <w:bookmarkStart w:id="27" w:name="OLE_LINK12"/>
      <w:r>
        <w:t>重型再生障碍性贫血。</w:t>
      </w:r>
      <w:bookmarkEnd w:id="27"/>
    </w:p>
    <w:p>
      <w:pPr>
        <w:pStyle w:val="11"/>
        <w:spacing w:before="120" w:after="120"/>
        <w:ind w:left="210" w:right="210"/>
      </w:pPr>
      <w:r>
        <w:t xml:space="preserve"> </w:t>
      </w:r>
      <w:bookmarkStart w:id="28" w:name="_Toc386380662"/>
      <w:bookmarkStart w:id="29" w:name="_Toc384919722"/>
      <w:r>
        <w:t>三级</w:t>
      </w:r>
      <w:bookmarkEnd w:id="28"/>
      <w:bookmarkEnd w:id="29"/>
    </w:p>
    <w:p>
      <w:pPr>
        <w:pStyle w:val="12"/>
        <w:spacing w:before="120" w:after="120"/>
        <w:ind w:left="210" w:right="210"/>
        <w:rPr>
          <w:rFonts w:hint="eastAsia"/>
        </w:rPr>
      </w:pPr>
      <w:bookmarkStart w:id="30" w:name="OLE_LINK13"/>
      <w:r>
        <w:rPr>
          <w:rFonts w:hint="eastAsia"/>
        </w:rPr>
        <w:t>颅脑、脊髓及周围神经损伤</w:t>
      </w:r>
    </w:p>
    <w:p>
      <w:pPr>
        <w:pStyle w:val="13"/>
        <w:numPr>
          <w:ilvl w:val="1"/>
          <w:numId w:val="15"/>
        </w:numPr>
        <w:tabs>
          <w:tab w:val="left" w:pos="900"/>
          <w:tab w:val="left" w:pos="1130"/>
        </w:tabs>
        <w:ind w:left="896" w:hanging="357"/>
      </w:pPr>
      <w:r>
        <w:t>精神障碍或者重度智能减退</w:t>
      </w:r>
      <w:r>
        <w:rPr>
          <w:rFonts w:hint="eastAsia"/>
        </w:rPr>
        <w:t>，不能完全独立生活，需经常有人监护</w:t>
      </w:r>
      <w:r>
        <w:t>；</w:t>
      </w:r>
    </w:p>
    <w:p>
      <w:pPr>
        <w:pStyle w:val="13"/>
        <w:tabs>
          <w:tab w:val="left" w:pos="900"/>
        </w:tabs>
        <w:ind w:hanging="590"/>
      </w:pPr>
      <w:r>
        <w:t>完全感觉性失语或者混合性失语；</w:t>
      </w:r>
    </w:p>
    <w:p>
      <w:pPr>
        <w:pStyle w:val="13"/>
        <w:tabs>
          <w:tab w:val="left" w:pos="900"/>
        </w:tabs>
        <w:ind w:hanging="590"/>
        <w:rPr>
          <w:rFonts w:hint="eastAsia"/>
        </w:rPr>
      </w:pPr>
      <w:r>
        <w:t>截瘫（肌力3级</w:t>
      </w:r>
      <w:r>
        <w:rPr>
          <w:rFonts w:hint="eastAsia"/>
        </w:rPr>
        <w:t>以下</w:t>
      </w:r>
      <w:r>
        <w:t>）</w:t>
      </w:r>
      <w:r>
        <w:rPr>
          <w:rFonts w:hint="eastAsia"/>
        </w:rPr>
        <w:t>伴排便或者排尿功能障碍</w:t>
      </w:r>
      <w:r>
        <w:t>；</w:t>
      </w:r>
    </w:p>
    <w:p>
      <w:pPr>
        <w:pStyle w:val="13"/>
        <w:tabs>
          <w:tab w:val="left" w:pos="900"/>
        </w:tabs>
        <w:ind w:hanging="590"/>
      </w:pPr>
      <w:r>
        <w:t>双手全肌瘫（肌力</w:t>
      </w:r>
      <w:r>
        <w:rPr>
          <w:rFonts w:hint="eastAsia"/>
        </w:rPr>
        <w:t>2级以下</w:t>
      </w:r>
      <w:r>
        <w:t>）</w:t>
      </w:r>
      <w:r>
        <w:rPr>
          <w:rFonts w:hint="eastAsia"/>
        </w:rPr>
        <w:t>，伴双腕关节功能丧失均达75%</w:t>
      </w:r>
      <w:r>
        <w:t>；</w:t>
      </w:r>
    </w:p>
    <w:bookmarkEnd w:id="30"/>
    <w:p>
      <w:pPr>
        <w:pStyle w:val="13"/>
        <w:tabs>
          <w:tab w:val="left" w:pos="900"/>
        </w:tabs>
        <w:ind w:hanging="590"/>
      </w:pPr>
      <w:bookmarkStart w:id="31" w:name="OLE_LINK14"/>
      <w:r>
        <w:t>重度排便</w:t>
      </w:r>
      <w:r>
        <w:rPr>
          <w:rFonts w:hint="eastAsia"/>
        </w:rPr>
        <w:t>功能障碍伴重度</w:t>
      </w:r>
      <w:r>
        <w:t>排尿功能障碍</w:t>
      </w:r>
      <w:r>
        <w:rPr>
          <w:rFonts w:hint="eastAsia"/>
        </w:rPr>
        <w:t>。</w:t>
      </w:r>
    </w:p>
    <w:p>
      <w:pPr>
        <w:pStyle w:val="12"/>
        <w:spacing w:before="120" w:after="120"/>
        <w:ind w:left="210" w:right="210"/>
        <w:rPr>
          <w:rFonts w:hint="eastAsia"/>
        </w:rPr>
      </w:pPr>
      <w:r>
        <w:rPr>
          <w:rFonts w:hint="eastAsia"/>
        </w:rPr>
        <w:t>头面部损伤</w:t>
      </w:r>
    </w:p>
    <w:bookmarkEnd w:id="31"/>
    <w:p>
      <w:pPr>
        <w:pStyle w:val="13"/>
        <w:numPr>
          <w:ilvl w:val="1"/>
          <w:numId w:val="16"/>
        </w:numPr>
        <w:tabs>
          <w:tab w:val="left" w:pos="900"/>
        </w:tabs>
        <w:ind w:hanging="590"/>
      </w:pPr>
      <w:bookmarkStart w:id="32" w:name="OLE_LINK15"/>
      <w:r>
        <w:t>一眼球缺失</w:t>
      </w:r>
      <w:r>
        <w:rPr>
          <w:rFonts w:hint="eastAsia"/>
        </w:rPr>
        <w:t>、</w:t>
      </w:r>
      <w:r>
        <w:t>萎缩</w:t>
      </w:r>
      <w:r>
        <w:rPr>
          <w:rFonts w:hint="eastAsia"/>
        </w:rPr>
        <w:t>或者盲目5级，另一眼盲目3级</w:t>
      </w:r>
      <w:r>
        <w:t>；</w:t>
      </w:r>
    </w:p>
    <w:p>
      <w:pPr>
        <w:pStyle w:val="13"/>
        <w:tabs>
          <w:tab w:val="left" w:pos="900"/>
        </w:tabs>
        <w:ind w:hanging="590"/>
        <w:rPr>
          <w:rFonts w:hint="eastAsia"/>
        </w:rPr>
      </w:pPr>
      <w:r>
        <w:t>双眼盲目4级</w:t>
      </w:r>
      <w:r>
        <w:rPr>
          <w:rFonts w:hint="eastAsia"/>
        </w:rPr>
        <w:t>；</w:t>
      </w:r>
    </w:p>
    <w:p>
      <w:pPr>
        <w:pStyle w:val="13"/>
        <w:tabs>
          <w:tab w:val="left" w:pos="900"/>
        </w:tabs>
        <w:ind w:hanging="590"/>
        <w:rPr>
          <w:rFonts w:hint="eastAsia"/>
        </w:rPr>
      </w:pPr>
      <w:r>
        <w:t>双眼视野接近完全缺损，视野有效值</w:t>
      </w:r>
      <w:r>
        <w:rPr>
          <w:rFonts w:hint="eastAsia" w:hAnsi="宋体"/>
        </w:rPr>
        <w:t>≤</w:t>
      </w:r>
      <w:r>
        <w:t>4％（直径</w:t>
      </w:r>
      <w:r>
        <w:rPr>
          <w:rFonts w:hint="eastAsia" w:hAnsi="宋体"/>
        </w:rPr>
        <w:t>≤</w:t>
      </w:r>
      <w:r>
        <w:t>5°）</w:t>
      </w:r>
      <w:r>
        <w:rPr>
          <w:rFonts w:hint="eastAsia"/>
        </w:rPr>
        <w:t>；</w:t>
      </w:r>
    </w:p>
    <w:p>
      <w:pPr>
        <w:pStyle w:val="13"/>
        <w:tabs>
          <w:tab w:val="left" w:pos="720"/>
          <w:tab w:val="left" w:pos="900"/>
        </w:tabs>
        <w:ind w:left="720" w:hanging="180"/>
      </w:pPr>
      <w:r>
        <w:t>吞咽功能</w:t>
      </w:r>
      <w:r>
        <w:rPr>
          <w:rFonts w:hint="eastAsia"/>
        </w:rPr>
        <w:t>障碍</w:t>
      </w:r>
      <w:r>
        <w:t>，完全依赖胃管进食</w:t>
      </w:r>
      <w:r>
        <w:rPr>
          <w:rFonts w:hint="eastAsia"/>
        </w:rPr>
        <w:t>。</w:t>
      </w:r>
    </w:p>
    <w:bookmarkEnd w:id="32"/>
    <w:p>
      <w:pPr>
        <w:pStyle w:val="12"/>
        <w:spacing w:before="120" w:after="120"/>
        <w:ind w:left="210" w:right="210"/>
        <w:rPr>
          <w:rFonts w:hint="eastAsia"/>
        </w:rPr>
      </w:pPr>
      <w:bookmarkStart w:id="33" w:name="OLE_LINK16"/>
      <w:r>
        <w:rPr>
          <w:rFonts w:hint="eastAsia"/>
        </w:rPr>
        <w:t>颈部及胸部损伤</w:t>
      </w:r>
    </w:p>
    <w:p>
      <w:pPr>
        <w:pStyle w:val="13"/>
        <w:numPr>
          <w:ilvl w:val="1"/>
          <w:numId w:val="17"/>
        </w:numPr>
        <w:tabs>
          <w:tab w:val="left" w:pos="900"/>
          <w:tab w:val="left" w:pos="1130"/>
        </w:tabs>
        <w:ind w:hanging="590"/>
      </w:pPr>
      <w:r>
        <w:t>食管闭锁或者切除术后，摄食依赖胃造口或者空肠造口；</w:t>
      </w:r>
    </w:p>
    <w:p>
      <w:pPr>
        <w:pStyle w:val="13"/>
        <w:tabs>
          <w:tab w:val="left" w:pos="900"/>
        </w:tabs>
        <w:ind w:hanging="590"/>
      </w:pPr>
      <w:r>
        <w:t>心功能不全，心功能</w:t>
      </w:r>
      <w:r>
        <w:rPr>
          <w:rFonts w:hint="eastAsia" w:hAnsi="宋体" w:cs="宋体"/>
        </w:rPr>
        <w:t>Ⅲ</w:t>
      </w:r>
      <w:r>
        <w:t>级</w:t>
      </w:r>
      <w:r>
        <w:rPr>
          <w:rFonts w:hint="eastAsia"/>
        </w:rPr>
        <w:t>。</w:t>
      </w:r>
    </w:p>
    <w:bookmarkEnd w:id="33"/>
    <w:p>
      <w:pPr>
        <w:pStyle w:val="12"/>
        <w:spacing w:before="120" w:after="120"/>
        <w:ind w:left="800" w:right="210" w:hanging="590"/>
        <w:rPr>
          <w:rFonts w:hint="eastAsia"/>
        </w:rPr>
      </w:pPr>
      <w:bookmarkStart w:id="34" w:name="OLE_LINK17"/>
      <w:r>
        <w:rPr>
          <w:rFonts w:hint="eastAsia"/>
        </w:rPr>
        <w:t>腹部损伤</w:t>
      </w:r>
    </w:p>
    <w:p>
      <w:pPr>
        <w:pStyle w:val="13"/>
        <w:numPr>
          <w:ilvl w:val="1"/>
          <w:numId w:val="18"/>
        </w:numPr>
        <w:tabs>
          <w:tab w:val="left" w:pos="900"/>
          <w:tab w:val="left" w:pos="1130"/>
        </w:tabs>
        <w:ind w:hanging="590"/>
        <w:rPr>
          <w:rFonts w:hint="eastAsia"/>
        </w:rPr>
      </w:pPr>
      <w:r>
        <w:rPr>
          <w:rFonts w:hint="eastAsia"/>
        </w:rPr>
        <w:t>全胰缺失；</w:t>
      </w:r>
    </w:p>
    <w:p>
      <w:pPr>
        <w:pStyle w:val="13"/>
        <w:tabs>
          <w:tab w:val="left" w:pos="900"/>
        </w:tabs>
        <w:ind w:hanging="590"/>
      </w:pPr>
      <w:r>
        <w:t>一侧肾切除术后，另一侧</w:t>
      </w:r>
      <w:r>
        <w:rPr>
          <w:rFonts w:hint="eastAsia"/>
        </w:rPr>
        <w:t>肾功能重度下降</w:t>
      </w:r>
      <w:r>
        <w:t>；</w:t>
      </w:r>
    </w:p>
    <w:p>
      <w:pPr>
        <w:pStyle w:val="13"/>
        <w:tabs>
          <w:tab w:val="left" w:pos="900"/>
        </w:tabs>
        <w:ind w:hanging="590"/>
      </w:pPr>
      <w:r>
        <w:t>小肠大部分切除术后，消化吸收功能严重障碍，大部分依赖肠外营养</w:t>
      </w:r>
      <w:r>
        <w:rPr>
          <w:rFonts w:hint="eastAsia"/>
        </w:rPr>
        <w:t>。</w:t>
      </w:r>
    </w:p>
    <w:bookmarkEnd w:id="34"/>
    <w:p>
      <w:pPr>
        <w:pStyle w:val="12"/>
        <w:spacing w:before="120" w:after="120"/>
        <w:ind w:left="210" w:right="210"/>
        <w:rPr>
          <w:rFonts w:hint="eastAsia"/>
        </w:rPr>
      </w:pPr>
      <w:bookmarkStart w:id="35" w:name="OLE_LINK18"/>
      <w:r>
        <w:rPr>
          <w:rFonts w:hint="eastAsia"/>
        </w:rPr>
        <w:t>盆部及会阴部损伤</w:t>
      </w:r>
    </w:p>
    <w:p>
      <w:pPr>
        <w:pStyle w:val="13"/>
        <w:numPr>
          <w:ilvl w:val="1"/>
          <w:numId w:val="19"/>
        </w:numPr>
        <w:tabs>
          <w:tab w:val="left" w:pos="900"/>
          <w:tab w:val="left" w:pos="1130"/>
        </w:tabs>
        <w:ind w:hanging="590"/>
      </w:pPr>
      <w:r>
        <w:t>未成年人双侧卵巢缺失或者萎缩，完全丧失功能；</w:t>
      </w:r>
    </w:p>
    <w:bookmarkEnd w:id="35"/>
    <w:p>
      <w:pPr>
        <w:pStyle w:val="13"/>
        <w:tabs>
          <w:tab w:val="left" w:pos="900"/>
        </w:tabs>
        <w:ind w:hanging="590"/>
        <w:rPr>
          <w:rFonts w:hint="eastAsia"/>
        </w:rPr>
      </w:pPr>
      <w:bookmarkStart w:id="36" w:name="OLE_LINK19"/>
      <w:r>
        <w:t>未成年人双侧睾丸缺失或者萎缩，</w:t>
      </w:r>
      <w:r>
        <w:rPr>
          <w:rFonts w:hint="eastAsia"/>
        </w:rPr>
        <w:t>完全</w:t>
      </w:r>
      <w:r>
        <w:t>丧失功能</w:t>
      </w:r>
      <w:r>
        <w:rPr>
          <w:rFonts w:hint="eastAsia"/>
        </w:rPr>
        <w:t>；</w:t>
      </w:r>
    </w:p>
    <w:p>
      <w:pPr>
        <w:pStyle w:val="13"/>
        <w:tabs>
          <w:tab w:val="left" w:pos="900"/>
        </w:tabs>
        <w:ind w:hanging="590"/>
        <w:rPr>
          <w:rFonts w:hint="eastAsia"/>
        </w:rPr>
      </w:pPr>
      <w:r>
        <w:rPr>
          <w:rFonts w:hint="eastAsia"/>
        </w:rPr>
        <w:t>阴茎接近完全缺失</w:t>
      </w:r>
      <w:r>
        <w:rPr>
          <w:rFonts w:hint="eastAsia"/>
          <w:szCs w:val="21"/>
        </w:rPr>
        <w:t>（残留长度</w:t>
      </w:r>
      <w:r>
        <w:rPr>
          <w:rFonts w:hint="eastAsia" w:hAnsi="宋体"/>
          <w:szCs w:val="21"/>
        </w:rPr>
        <w:t>≤1.0</w:t>
      </w:r>
      <w:r>
        <w:rPr>
          <w:rFonts w:hAnsi="宋体"/>
          <w:szCs w:val="21"/>
        </w:rPr>
        <w:t>cm</w:t>
      </w:r>
      <w:r>
        <w:rPr>
          <w:rFonts w:hint="eastAsia"/>
          <w:szCs w:val="21"/>
        </w:rPr>
        <w:t>）。</w:t>
      </w:r>
    </w:p>
    <w:bookmarkEnd w:id="36"/>
    <w:p>
      <w:pPr>
        <w:pStyle w:val="12"/>
        <w:spacing w:before="120" w:after="120"/>
        <w:ind w:left="210" w:right="210"/>
        <w:rPr>
          <w:rFonts w:hint="eastAsia"/>
        </w:rPr>
      </w:pPr>
      <w:bookmarkStart w:id="37" w:name="OLE_LINK20"/>
      <w:r>
        <w:rPr>
          <w:rFonts w:hint="eastAsia"/>
        </w:rPr>
        <w:t>脊柱、骨盆及四肢损伤</w:t>
      </w:r>
    </w:p>
    <w:p>
      <w:pPr>
        <w:pStyle w:val="13"/>
        <w:numPr>
          <w:ilvl w:val="1"/>
          <w:numId w:val="20"/>
        </w:numPr>
        <w:tabs>
          <w:tab w:val="left" w:pos="900"/>
        </w:tabs>
        <w:ind w:left="900" w:hanging="360"/>
        <w:rPr>
          <w:rFonts w:hint="eastAsia"/>
        </w:rPr>
      </w:pPr>
      <w:r>
        <w:rPr>
          <w:rFonts w:hint="eastAsia"/>
          <w:szCs w:val="21"/>
        </w:rPr>
        <w:t>二肢缺失（上肢腕关节以上，下肢膝关节以上）</w:t>
      </w:r>
      <w:r>
        <w:rPr>
          <w:rFonts w:hint="eastAsia"/>
        </w:rPr>
        <w:t>；</w:t>
      </w:r>
    </w:p>
    <w:p>
      <w:pPr>
        <w:pStyle w:val="13"/>
        <w:tabs>
          <w:tab w:val="left" w:pos="900"/>
        </w:tabs>
        <w:ind w:left="900" w:hanging="360"/>
        <w:rPr>
          <w:rFonts w:hint="eastAsia"/>
        </w:rPr>
      </w:pPr>
      <w:r>
        <w:rPr>
          <w:rFonts w:hint="eastAsia" w:hAnsi="宋体"/>
        </w:rPr>
        <w:t>一</w:t>
      </w:r>
      <w:r>
        <w:rPr>
          <w:rFonts w:hAnsi="宋体"/>
        </w:rPr>
        <w:t>肢缺失(上肢腕关节以上，下肢</w:t>
      </w:r>
      <w:r>
        <w:rPr>
          <w:rFonts w:hint="eastAsia" w:hAnsi="宋体"/>
        </w:rPr>
        <w:t>膝</w:t>
      </w:r>
      <w:r>
        <w:rPr>
          <w:rFonts w:hAnsi="宋体"/>
        </w:rPr>
        <w:t>关节以上)</w:t>
      </w:r>
      <w:r>
        <w:rPr>
          <w:rFonts w:hint="eastAsia" w:hAnsi="宋体"/>
        </w:rPr>
        <w:t>，另一肢各大关节均强直固定或者功能丧失均达90%；</w:t>
      </w:r>
    </w:p>
    <w:p>
      <w:pPr>
        <w:pStyle w:val="13"/>
        <w:tabs>
          <w:tab w:val="left" w:pos="900"/>
        </w:tabs>
        <w:ind w:left="900" w:hanging="360"/>
        <w:rPr>
          <w:rFonts w:hint="eastAsia"/>
        </w:rPr>
      </w:pPr>
      <w:r>
        <w:rPr>
          <w:rFonts w:hint="eastAsia" w:hAnsi="宋体"/>
        </w:rPr>
        <w:t>双上肢各大关节功能丧失均达75%；双下肢各大关节均强直固定或者功能丧失均达90%；</w:t>
      </w:r>
      <w:r>
        <w:rPr>
          <w:rFonts w:hAnsi="宋体"/>
        </w:rPr>
        <w:t>一</w:t>
      </w:r>
      <w:r>
        <w:rPr>
          <w:rFonts w:hint="eastAsia" w:hAnsi="宋体"/>
        </w:rPr>
        <w:t>上</w:t>
      </w:r>
      <w:r>
        <w:rPr>
          <w:rFonts w:hAnsi="宋体"/>
        </w:rPr>
        <w:t>肢</w:t>
      </w:r>
      <w:r>
        <w:rPr>
          <w:rFonts w:hint="eastAsia" w:hAnsi="宋体"/>
        </w:rPr>
        <w:t>与一下肢各大关节均强直固定或者功能丧失均达90%。</w:t>
      </w:r>
    </w:p>
    <w:bookmarkEnd w:id="37"/>
    <w:p>
      <w:pPr>
        <w:pStyle w:val="11"/>
        <w:spacing w:before="120" w:after="120"/>
        <w:ind w:left="210" w:right="210"/>
      </w:pPr>
      <w:bookmarkStart w:id="38" w:name="_Toc386380663"/>
      <w:bookmarkStart w:id="39" w:name="_Toc384919723"/>
      <w:r>
        <w:t>四级</w:t>
      </w:r>
      <w:bookmarkEnd w:id="38"/>
      <w:bookmarkEnd w:id="39"/>
    </w:p>
    <w:p>
      <w:pPr>
        <w:pStyle w:val="12"/>
        <w:spacing w:before="120" w:after="120"/>
        <w:ind w:left="210" w:right="210"/>
        <w:rPr>
          <w:rFonts w:hint="eastAsia"/>
        </w:rPr>
      </w:pPr>
      <w:bookmarkStart w:id="40" w:name="OLE_LINK21"/>
      <w:r>
        <w:rPr>
          <w:rFonts w:hint="eastAsia"/>
        </w:rPr>
        <w:t>颅脑、脊髓及周围神经损伤</w:t>
      </w:r>
    </w:p>
    <w:p>
      <w:pPr>
        <w:pStyle w:val="13"/>
        <w:numPr>
          <w:ilvl w:val="1"/>
          <w:numId w:val="21"/>
        </w:numPr>
        <w:tabs>
          <w:tab w:val="left" w:pos="900"/>
        </w:tabs>
        <w:ind w:left="896" w:hanging="357"/>
        <w:rPr>
          <w:rFonts w:hint="eastAsia"/>
        </w:rPr>
      </w:pPr>
      <w:r>
        <w:t>精神障碍或者中度智能减退，日常生活能力严重受限，</w:t>
      </w:r>
      <w:r>
        <w:rPr>
          <w:rFonts w:hint="eastAsia"/>
        </w:rPr>
        <w:t>间或</w:t>
      </w:r>
      <w:r>
        <w:t>需要帮助</w:t>
      </w:r>
      <w:r>
        <w:rPr>
          <w:rFonts w:hint="eastAsia"/>
        </w:rPr>
        <w:t>；</w:t>
      </w:r>
    </w:p>
    <w:p>
      <w:pPr>
        <w:pStyle w:val="13"/>
        <w:tabs>
          <w:tab w:val="left" w:pos="900"/>
        </w:tabs>
        <w:ind w:left="900" w:hanging="360"/>
      </w:pPr>
      <w:r>
        <w:t>外伤性癫痫（重度）；</w:t>
      </w:r>
    </w:p>
    <w:p>
      <w:pPr>
        <w:pStyle w:val="13"/>
        <w:tabs>
          <w:tab w:val="left" w:pos="900"/>
        </w:tabs>
        <w:ind w:left="900" w:hanging="360"/>
        <w:rPr>
          <w:rFonts w:hint="eastAsia"/>
        </w:rPr>
      </w:pPr>
      <w:r>
        <w:rPr>
          <w:rFonts w:hint="eastAsia"/>
        </w:rPr>
        <w:t>偏瘫（</w:t>
      </w:r>
      <w:r>
        <w:t>肌力3级</w:t>
      </w:r>
      <w:r>
        <w:rPr>
          <w:rFonts w:hint="eastAsia"/>
        </w:rPr>
        <w:t>以下</w:t>
      </w:r>
      <w:r>
        <w:t>）</w:t>
      </w:r>
      <w:r>
        <w:rPr>
          <w:rFonts w:hint="eastAsia"/>
        </w:rPr>
        <w:t>；</w:t>
      </w:r>
    </w:p>
    <w:p>
      <w:pPr>
        <w:pStyle w:val="13"/>
        <w:tabs>
          <w:tab w:val="left" w:pos="900"/>
        </w:tabs>
        <w:ind w:left="900" w:hanging="360"/>
        <w:rPr>
          <w:rFonts w:hint="eastAsia"/>
        </w:rPr>
      </w:pPr>
      <w:r>
        <w:t>截瘫（肌力3级</w:t>
      </w:r>
      <w:r>
        <w:rPr>
          <w:rFonts w:hint="eastAsia"/>
        </w:rPr>
        <w:t>以下</w:t>
      </w:r>
      <w:r>
        <w:t>）</w:t>
      </w:r>
      <w:r>
        <w:rPr>
          <w:rFonts w:hint="eastAsia"/>
        </w:rPr>
        <w:t>；</w:t>
      </w:r>
    </w:p>
    <w:p>
      <w:pPr>
        <w:pStyle w:val="13"/>
        <w:tabs>
          <w:tab w:val="left" w:pos="900"/>
        </w:tabs>
        <w:ind w:left="900" w:hanging="360"/>
        <w:rPr>
          <w:rFonts w:hint="eastAsia"/>
        </w:rPr>
      </w:pPr>
      <w:r>
        <w:rPr>
          <w:rFonts w:hint="eastAsia"/>
        </w:rPr>
        <w:t>阴茎器质性勃起障碍（重度）。</w:t>
      </w:r>
    </w:p>
    <w:bookmarkEnd w:id="40"/>
    <w:p>
      <w:pPr>
        <w:pStyle w:val="12"/>
        <w:spacing w:before="120" w:after="120"/>
        <w:ind w:left="210" w:right="210"/>
        <w:rPr>
          <w:rFonts w:hint="eastAsia"/>
        </w:rPr>
      </w:pPr>
      <w:bookmarkStart w:id="41" w:name="OLE_LINK22"/>
      <w:r>
        <w:rPr>
          <w:rFonts w:hint="eastAsia"/>
        </w:rPr>
        <w:t>头面部损伤</w:t>
      </w:r>
    </w:p>
    <w:p>
      <w:pPr>
        <w:pStyle w:val="13"/>
        <w:numPr>
          <w:ilvl w:val="1"/>
          <w:numId w:val="22"/>
        </w:numPr>
        <w:tabs>
          <w:tab w:val="left" w:pos="900"/>
          <w:tab w:val="left" w:pos="1130"/>
        </w:tabs>
        <w:ind w:hanging="590"/>
        <w:rPr>
          <w:rFonts w:hint="eastAsia"/>
        </w:rPr>
      </w:pPr>
      <w:r>
        <w:t>符合容貌毁损</w:t>
      </w:r>
      <w:r>
        <w:rPr>
          <w:rFonts w:hint="eastAsia"/>
        </w:rPr>
        <w:t>（重度）</w:t>
      </w:r>
      <w:r>
        <w:t>标准之三项者</w:t>
      </w:r>
      <w:r>
        <w:rPr>
          <w:rFonts w:hint="eastAsia"/>
        </w:rPr>
        <w:t>；</w:t>
      </w:r>
    </w:p>
    <w:p>
      <w:pPr>
        <w:pStyle w:val="13"/>
        <w:tabs>
          <w:tab w:val="left" w:pos="900"/>
        </w:tabs>
        <w:ind w:hanging="590"/>
      </w:pPr>
      <w:r>
        <w:t>上颌骨或者下颌骨缺损</w:t>
      </w:r>
      <w:r>
        <w:rPr>
          <w:rFonts w:hint="eastAsia"/>
        </w:rPr>
        <w:t>达</w:t>
      </w:r>
      <w:r>
        <w:t>1/2；</w:t>
      </w:r>
    </w:p>
    <w:p>
      <w:pPr>
        <w:pStyle w:val="13"/>
        <w:tabs>
          <w:tab w:val="left" w:pos="900"/>
        </w:tabs>
        <w:ind w:hanging="590"/>
      </w:pPr>
      <w:r>
        <w:t>一眼球缺失</w:t>
      </w:r>
      <w:r>
        <w:rPr>
          <w:rFonts w:hint="eastAsia"/>
        </w:rPr>
        <w:t>、</w:t>
      </w:r>
      <w:r>
        <w:t>萎缩或者盲目5级，另一眼重度视力损害；</w:t>
      </w:r>
    </w:p>
    <w:p>
      <w:pPr>
        <w:pStyle w:val="13"/>
        <w:tabs>
          <w:tab w:val="left" w:pos="900"/>
        </w:tabs>
        <w:ind w:hanging="590"/>
      </w:pPr>
      <w:r>
        <w:t>双眼盲目3级；</w:t>
      </w:r>
    </w:p>
    <w:p>
      <w:pPr>
        <w:pStyle w:val="13"/>
        <w:tabs>
          <w:tab w:val="left" w:pos="900"/>
        </w:tabs>
        <w:ind w:hanging="590"/>
        <w:rPr>
          <w:rFonts w:hint="eastAsia"/>
        </w:rPr>
      </w:pPr>
      <w:r>
        <w:t>双眼视野极度缺损，视野有效值</w:t>
      </w:r>
      <w:r>
        <w:rPr>
          <w:rFonts w:hint="eastAsia" w:hAnsi="宋体"/>
        </w:rPr>
        <w:t>≤</w:t>
      </w:r>
      <w:r>
        <w:t>8％（直径</w:t>
      </w:r>
      <w:r>
        <w:rPr>
          <w:rFonts w:hint="eastAsia" w:hAnsi="宋体"/>
        </w:rPr>
        <w:t>≤</w:t>
      </w:r>
      <w:r>
        <w:t>10°）</w:t>
      </w:r>
      <w:r>
        <w:rPr>
          <w:rFonts w:hint="eastAsia"/>
        </w:rPr>
        <w:t>；</w:t>
      </w:r>
    </w:p>
    <w:p>
      <w:pPr>
        <w:pStyle w:val="13"/>
        <w:tabs>
          <w:tab w:val="left" w:pos="900"/>
        </w:tabs>
        <w:ind w:hanging="590"/>
      </w:pPr>
      <w:r>
        <w:t>双耳听力障碍</w:t>
      </w:r>
      <w:r>
        <w:rPr>
          <w:rFonts w:hint="eastAsia" w:hAnsi="宋体"/>
        </w:rPr>
        <w:t>≥</w:t>
      </w:r>
      <w:r>
        <w:t>91dB HL</w:t>
      </w:r>
      <w:r>
        <w:rPr>
          <w:rFonts w:hint="eastAsia"/>
        </w:rPr>
        <w:t>。</w:t>
      </w:r>
    </w:p>
    <w:bookmarkEnd w:id="41"/>
    <w:p>
      <w:pPr>
        <w:pStyle w:val="12"/>
        <w:spacing w:before="120" w:after="120"/>
        <w:ind w:left="210" w:right="210"/>
        <w:rPr>
          <w:rFonts w:hint="eastAsia"/>
        </w:rPr>
      </w:pPr>
      <w:bookmarkStart w:id="42" w:name="OLE_LINK23"/>
      <w:r>
        <w:rPr>
          <w:rFonts w:hint="eastAsia"/>
        </w:rPr>
        <w:t>颈部及胸部损伤</w:t>
      </w:r>
    </w:p>
    <w:bookmarkEnd w:id="42"/>
    <w:p>
      <w:pPr>
        <w:pStyle w:val="13"/>
        <w:numPr>
          <w:ilvl w:val="1"/>
          <w:numId w:val="23"/>
        </w:numPr>
        <w:tabs>
          <w:tab w:val="left" w:pos="900"/>
        </w:tabs>
        <w:ind w:left="900" w:hanging="360"/>
      </w:pPr>
      <w:bookmarkStart w:id="43" w:name="OLE_LINK24"/>
      <w:r>
        <w:t>严重器质性心律失常，心功能</w:t>
      </w:r>
      <w:r>
        <w:rPr>
          <w:rFonts w:hint="eastAsia" w:hAnsi="宋体" w:cs="宋体"/>
        </w:rPr>
        <w:t>Ⅱ</w:t>
      </w:r>
      <w:r>
        <w:t>级；</w:t>
      </w:r>
    </w:p>
    <w:p>
      <w:pPr>
        <w:pStyle w:val="13"/>
        <w:tabs>
          <w:tab w:val="left" w:pos="900"/>
        </w:tabs>
        <w:ind w:left="900" w:hanging="360"/>
      </w:pPr>
      <w:r>
        <w:t>一侧全肺切除术后；</w:t>
      </w:r>
    </w:p>
    <w:p>
      <w:pPr>
        <w:pStyle w:val="13"/>
        <w:tabs>
          <w:tab w:val="left" w:pos="900"/>
        </w:tabs>
        <w:ind w:left="900" w:hanging="360"/>
      </w:pPr>
      <w:r>
        <w:t>呼吸困难（重度）</w:t>
      </w:r>
      <w:r>
        <w:rPr>
          <w:rFonts w:hint="eastAsia"/>
        </w:rPr>
        <w:t>。</w:t>
      </w:r>
    </w:p>
    <w:bookmarkEnd w:id="43"/>
    <w:p>
      <w:pPr>
        <w:pStyle w:val="12"/>
        <w:spacing w:before="120" w:after="120"/>
        <w:ind w:left="210" w:right="210"/>
        <w:rPr>
          <w:rFonts w:hint="eastAsia"/>
        </w:rPr>
      </w:pPr>
      <w:bookmarkStart w:id="44" w:name="OLE_LINK25"/>
      <w:r>
        <w:rPr>
          <w:rFonts w:hint="eastAsia"/>
        </w:rPr>
        <w:t>腹部损伤</w:t>
      </w:r>
    </w:p>
    <w:p>
      <w:pPr>
        <w:pStyle w:val="13"/>
        <w:numPr>
          <w:ilvl w:val="1"/>
          <w:numId w:val="24"/>
        </w:numPr>
        <w:tabs>
          <w:tab w:val="left" w:pos="900"/>
        </w:tabs>
        <w:ind w:hanging="590"/>
        <w:rPr>
          <w:rFonts w:hint="eastAsia"/>
        </w:rPr>
      </w:pPr>
      <w:r>
        <w:rPr>
          <w:rFonts w:hint="eastAsia"/>
        </w:rPr>
        <w:t>肝切除2/3以上；</w:t>
      </w:r>
    </w:p>
    <w:p>
      <w:pPr>
        <w:pStyle w:val="13"/>
        <w:tabs>
          <w:tab w:val="left" w:pos="900"/>
        </w:tabs>
        <w:ind w:hanging="590"/>
      </w:pPr>
      <w:r>
        <w:rPr>
          <w:rFonts w:hint="eastAsia"/>
        </w:rPr>
        <w:t>肝衰竭中期</w:t>
      </w:r>
      <w:r>
        <w:t>；</w:t>
      </w:r>
    </w:p>
    <w:p>
      <w:pPr>
        <w:pStyle w:val="13"/>
        <w:tabs>
          <w:tab w:val="left" w:pos="900"/>
        </w:tabs>
        <w:ind w:left="1080" w:hanging="540"/>
      </w:pPr>
      <w:r>
        <w:t>胰腺大部分切除，胰岛素依赖；</w:t>
      </w:r>
    </w:p>
    <w:p>
      <w:pPr>
        <w:pStyle w:val="13"/>
        <w:tabs>
          <w:tab w:val="left" w:pos="900"/>
        </w:tabs>
        <w:ind w:left="1080" w:hanging="540"/>
        <w:rPr>
          <w:rFonts w:hint="eastAsia"/>
        </w:rPr>
      </w:pPr>
      <w:r>
        <w:t>肾功能</w:t>
      </w:r>
      <w:r>
        <w:rPr>
          <w:rFonts w:hint="eastAsia"/>
        </w:rPr>
        <w:t>重度下降</w:t>
      </w:r>
      <w:r>
        <w:t>；</w:t>
      </w:r>
    </w:p>
    <w:p>
      <w:pPr>
        <w:pStyle w:val="13"/>
        <w:tabs>
          <w:tab w:val="left" w:pos="900"/>
        </w:tabs>
        <w:ind w:left="1080" w:hanging="540"/>
      </w:pPr>
      <w:r>
        <w:t>双侧肾上腺缺失</w:t>
      </w:r>
      <w:r>
        <w:rPr>
          <w:rFonts w:hint="eastAsia"/>
        </w:rPr>
        <w:t>；</w:t>
      </w:r>
    </w:p>
    <w:p>
      <w:pPr>
        <w:pStyle w:val="13"/>
        <w:tabs>
          <w:tab w:val="left" w:pos="900"/>
        </w:tabs>
        <w:ind w:left="1080" w:hanging="540"/>
      </w:pPr>
      <w:r>
        <w:t>永久性回肠造口</w:t>
      </w:r>
      <w:r>
        <w:rPr>
          <w:rFonts w:hint="eastAsia"/>
        </w:rPr>
        <w:t>。</w:t>
      </w:r>
    </w:p>
    <w:bookmarkEnd w:id="44"/>
    <w:p>
      <w:pPr>
        <w:pStyle w:val="12"/>
        <w:spacing w:before="120" w:after="120"/>
        <w:ind w:left="210" w:right="210"/>
        <w:rPr>
          <w:rFonts w:hint="eastAsia"/>
        </w:rPr>
      </w:pPr>
      <w:bookmarkStart w:id="45" w:name="OLE_LINK27"/>
      <w:r>
        <w:rPr>
          <w:rFonts w:hint="eastAsia"/>
        </w:rPr>
        <w:t>盆部及会阴部损伤</w:t>
      </w:r>
    </w:p>
    <w:p>
      <w:pPr>
        <w:pStyle w:val="13"/>
        <w:numPr>
          <w:ilvl w:val="1"/>
          <w:numId w:val="25"/>
        </w:numPr>
        <w:tabs>
          <w:tab w:val="left" w:pos="900"/>
        </w:tabs>
        <w:ind w:left="900" w:hanging="360"/>
        <w:rPr>
          <w:szCs w:val="21"/>
        </w:rPr>
      </w:pPr>
      <w:r>
        <w:rPr>
          <w:rFonts w:hint="eastAsia"/>
          <w:szCs w:val="21"/>
        </w:rPr>
        <w:t>膀胱完全缺失或者切除术后，行永久性输尿管腹壁造瘘或者肠代膀胱并永久性造口</w:t>
      </w:r>
      <w:r>
        <w:rPr>
          <w:rFonts w:hint="eastAsia" w:hAnsi="宋体"/>
          <w:szCs w:val="21"/>
        </w:rPr>
        <w:t>。</w:t>
      </w:r>
      <w:r>
        <w:rPr>
          <w:szCs w:val="21"/>
        </w:rPr>
        <w:t xml:space="preserve"> </w:t>
      </w:r>
    </w:p>
    <w:bookmarkEnd w:id="45"/>
    <w:p>
      <w:pPr>
        <w:pStyle w:val="12"/>
        <w:spacing w:before="120" w:after="120"/>
        <w:ind w:left="210" w:right="210"/>
        <w:rPr>
          <w:rFonts w:hint="eastAsia"/>
        </w:rPr>
      </w:pPr>
      <w:bookmarkStart w:id="46" w:name="OLE_LINK30"/>
      <w:r>
        <w:rPr>
          <w:rFonts w:hint="eastAsia"/>
        </w:rPr>
        <w:t>脊柱、骨盆及四肢损伤</w:t>
      </w:r>
    </w:p>
    <w:p>
      <w:pPr>
        <w:pStyle w:val="13"/>
        <w:numPr>
          <w:ilvl w:val="1"/>
          <w:numId w:val="26"/>
        </w:numPr>
        <w:tabs>
          <w:tab w:val="left" w:pos="900"/>
        </w:tabs>
        <w:ind w:left="900" w:hanging="360"/>
        <w:rPr>
          <w:rFonts w:hint="eastAsia"/>
        </w:rPr>
      </w:pPr>
      <w:r>
        <w:rPr>
          <w:rFonts w:hint="eastAsia"/>
          <w:szCs w:val="21"/>
        </w:rPr>
        <w:t>一上肢腕关节以上缺失伴一</w:t>
      </w:r>
      <w:r>
        <w:rPr>
          <w:kern w:val="2"/>
          <w:szCs w:val="21"/>
        </w:rPr>
        <w:t>下肢</w:t>
      </w:r>
      <w:r>
        <w:rPr>
          <w:rFonts w:hint="eastAsia"/>
          <w:szCs w:val="21"/>
        </w:rPr>
        <w:t>踝</w:t>
      </w:r>
      <w:r>
        <w:rPr>
          <w:kern w:val="2"/>
          <w:szCs w:val="21"/>
        </w:rPr>
        <w:t>关节以上</w:t>
      </w:r>
      <w:r>
        <w:rPr>
          <w:rFonts w:hint="eastAsia"/>
          <w:szCs w:val="21"/>
        </w:rPr>
        <w:t>缺失，或者双下肢踝关节以上缺失</w:t>
      </w:r>
      <w:r>
        <w:rPr>
          <w:rFonts w:hint="eastAsia"/>
        </w:rPr>
        <w:t>；</w:t>
      </w:r>
    </w:p>
    <w:p>
      <w:pPr>
        <w:pStyle w:val="13"/>
        <w:tabs>
          <w:tab w:val="left" w:pos="900"/>
        </w:tabs>
        <w:ind w:left="900" w:hanging="360"/>
        <w:rPr>
          <w:rFonts w:hint="eastAsia"/>
        </w:rPr>
      </w:pPr>
      <w:r>
        <w:t>双下肢</w:t>
      </w:r>
      <w:r>
        <w:rPr>
          <w:rFonts w:hint="eastAsia"/>
        </w:rPr>
        <w:t>各大关节功能丧失均达75%</w:t>
      </w:r>
      <w:r>
        <w:t>；</w:t>
      </w:r>
      <w:r>
        <w:rPr>
          <w:rFonts w:hAnsi="宋体"/>
        </w:rPr>
        <w:t>一</w:t>
      </w:r>
      <w:r>
        <w:rPr>
          <w:rFonts w:hint="eastAsia" w:hAnsi="宋体"/>
        </w:rPr>
        <w:t>上</w:t>
      </w:r>
      <w:r>
        <w:rPr>
          <w:rFonts w:hAnsi="宋体"/>
        </w:rPr>
        <w:t>肢</w:t>
      </w:r>
      <w:r>
        <w:rPr>
          <w:rFonts w:hint="eastAsia" w:hAnsi="宋体"/>
        </w:rPr>
        <w:t>与一下肢各大关节功能丧失均达75%；</w:t>
      </w:r>
    </w:p>
    <w:bookmarkEnd w:id="46"/>
    <w:p>
      <w:pPr>
        <w:pStyle w:val="13"/>
        <w:tabs>
          <w:tab w:val="left" w:pos="900"/>
        </w:tabs>
        <w:ind w:left="900" w:hanging="360"/>
      </w:pPr>
      <w:bookmarkStart w:id="47" w:name="OLE_LINK31"/>
      <w:r>
        <w:rPr>
          <w:rFonts w:hint="eastAsia"/>
        </w:rPr>
        <w:t>手功能丧失分值</w:t>
      </w:r>
      <w:r>
        <w:rPr>
          <w:rFonts w:hint="eastAsia" w:hAnsi="宋体"/>
        </w:rPr>
        <w:t>达</w:t>
      </w:r>
      <w:r>
        <w:rPr>
          <w:rFonts w:hint="eastAsia"/>
        </w:rPr>
        <w:t>150分。</w:t>
      </w:r>
    </w:p>
    <w:p>
      <w:pPr>
        <w:pStyle w:val="12"/>
        <w:spacing w:before="120" w:after="120"/>
        <w:ind w:left="210" w:right="210"/>
        <w:rPr>
          <w:rFonts w:hint="eastAsia"/>
        </w:rPr>
      </w:pPr>
      <w:r>
        <w:rPr>
          <w:rFonts w:hint="eastAsia"/>
        </w:rPr>
        <w:t>体表及其他损伤</w:t>
      </w:r>
    </w:p>
    <w:p>
      <w:pPr>
        <w:pStyle w:val="13"/>
        <w:numPr>
          <w:ilvl w:val="1"/>
          <w:numId w:val="27"/>
        </w:numPr>
        <w:tabs>
          <w:tab w:val="left" w:pos="900"/>
          <w:tab w:val="left" w:pos="1130"/>
        </w:tabs>
        <w:ind w:left="900" w:hanging="360"/>
      </w:pPr>
      <w:r>
        <w:t>皮肤瘢痕形成达体表面积70％</w:t>
      </w:r>
      <w:r>
        <w:rPr>
          <w:rFonts w:hint="eastAsia"/>
        </w:rPr>
        <w:t>；</w:t>
      </w:r>
    </w:p>
    <w:p>
      <w:pPr>
        <w:pStyle w:val="13"/>
        <w:tabs>
          <w:tab w:val="left" w:pos="900"/>
        </w:tabs>
        <w:ind w:left="900" w:hanging="360"/>
      </w:pPr>
      <w:r>
        <w:t>放射性皮肤癌</w:t>
      </w:r>
      <w:r>
        <w:rPr>
          <w:rFonts w:hint="eastAsia"/>
        </w:rPr>
        <w:t>。</w:t>
      </w:r>
    </w:p>
    <w:bookmarkEnd w:id="47"/>
    <w:p>
      <w:pPr>
        <w:pStyle w:val="11"/>
        <w:spacing w:before="120" w:after="120"/>
        <w:ind w:left="210" w:right="210"/>
      </w:pPr>
      <w:bookmarkStart w:id="48" w:name="_Toc384919724"/>
      <w:bookmarkStart w:id="49" w:name="_Toc386380664"/>
      <w:r>
        <w:t>五级</w:t>
      </w:r>
      <w:bookmarkEnd w:id="48"/>
      <w:bookmarkEnd w:id="49"/>
    </w:p>
    <w:p>
      <w:pPr>
        <w:pStyle w:val="12"/>
        <w:spacing w:before="120" w:after="120"/>
        <w:ind w:left="210" w:right="210"/>
        <w:rPr>
          <w:rFonts w:hint="eastAsia"/>
        </w:rPr>
      </w:pPr>
      <w:bookmarkStart w:id="50" w:name="OLE_LINK32"/>
      <w:r>
        <w:rPr>
          <w:rFonts w:hint="eastAsia"/>
        </w:rPr>
        <w:t>颅脑、脊髓及周围神经损伤</w:t>
      </w:r>
    </w:p>
    <w:p>
      <w:pPr>
        <w:pStyle w:val="13"/>
        <w:numPr>
          <w:ilvl w:val="1"/>
          <w:numId w:val="28"/>
        </w:numPr>
        <w:tabs>
          <w:tab w:val="left" w:pos="900"/>
          <w:tab w:val="left" w:pos="1130"/>
        </w:tabs>
        <w:ind w:left="896" w:hanging="357"/>
      </w:pPr>
      <w:r>
        <w:t>精神障碍或者中度智能减退，日常生活能力明显受限，需要指导；</w:t>
      </w:r>
    </w:p>
    <w:p>
      <w:pPr>
        <w:pStyle w:val="13"/>
        <w:tabs>
          <w:tab w:val="left" w:pos="900"/>
        </w:tabs>
        <w:ind w:hanging="590"/>
      </w:pPr>
      <w:r>
        <w:t>完全运动性失语；</w:t>
      </w:r>
    </w:p>
    <w:p>
      <w:pPr>
        <w:pStyle w:val="13"/>
        <w:tabs>
          <w:tab w:val="left" w:pos="900"/>
        </w:tabs>
        <w:ind w:hanging="590"/>
      </w:pPr>
      <w:r>
        <w:t>完全性失用、失写、失读或者失认等；</w:t>
      </w:r>
    </w:p>
    <w:p>
      <w:pPr>
        <w:pStyle w:val="13"/>
        <w:tabs>
          <w:tab w:val="left" w:pos="900"/>
        </w:tabs>
        <w:ind w:hanging="590"/>
      </w:pPr>
      <w:r>
        <w:t>双侧完全性面瘫；</w:t>
      </w:r>
    </w:p>
    <w:p>
      <w:pPr>
        <w:pStyle w:val="13"/>
        <w:tabs>
          <w:tab w:val="left" w:pos="900"/>
        </w:tabs>
        <w:ind w:hanging="590"/>
        <w:rPr>
          <w:rFonts w:hint="eastAsia"/>
        </w:rPr>
      </w:pPr>
      <w:r>
        <w:rPr>
          <w:rFonts w:hint="eastAsia"/>
        </w:rPr>
        <w:t>四肢瘫（肌力4级以下）；</w:t>
      </w:r>
    </w:p>
    <w:p>
      <w:pPr>
        <w:pStyle w:val="13"/>
        <w:tabs>
          <w:tab w:val="left" w:pos="900"/>
        </w:tabs>
        <w:ind w:left="900" w:hanging="360"/>
        <w:rPr>
          <w:rFonts w:hint="eastAsia"/>
        </w:rPr>
      </w:pPr>
      <w:r>
        <w:rPr>
          <w:rFonts w:hint="eastAsia"/>
        </w:rPr>
        <w:t>单肢瘫（肌力2级</w:t>
      </w:r>
      <w:r>
        <w:rPr>
          <w:rFonts w:hint="eastAsia" w:hAnsi="宋体"/>
        </w:rPr>
        <w:t>以下</w:t>
      </w:r>
      <w:r>
        <w:rPr>
          <w:rFonts w:hint="eastAsia"/>
        </w:rPr>
        <w:t>）；</w:t>
      </w:r>
    </w:p>
    <w:p>
      <w:pPr>
        <w:pStyle w:val="13"/>
        <w:tabs>
          <w:tab w:val="left" w:pos="900"/>
        </w:tabs>
        <w:ind w:left="900" w:hanging="360"/>
        <w:rPr>
          <w:rFonts w:hint="eastAsia"/>
        </w:rPr>
      </w:pPr>
      <w:r>
        <w:t>非肢体瘫运动障碍（中度）</w:t>
      </w:r>
      <w:r>
        <w:rPr>
          <w:rFonts w:hint="eastAsia"/>
        </w:rPr>
        <w:t>；</w:t>
      </w:r>
    </w:p>
    <w:p>
      <w:pPr>
        <w:pStyle w:val="13"/>
        <w:tabs>
          <w:tab w:val="left" w:pos="900"/>
        </w:tabs>
        <w:ind w:hanging="590"/>
      </w:pPr>
      <w:r>
        <w:t>双手大部分肌瘫（肌力</w:t>
      </w:r>
      <w:r>
        <w:rPr>
          <w:rFonts w:hint="eastAsia"/>
        </w:rPr>
        <w:t>2级</w:t>
      </w:r>
      <w:r>
        <w:rPr>
          <w:rFonts w:hint="eastAsia" w:hAnsi="宋体"/>
        </w:rPr>
        <w:t>以下</w:t>
      </w:r>
      <w:r>
        <w:t>）；</w:t>
      </w:r>
    </w:p>
    <w:p>
      <w:pPr>
        <w:pStyle w:val="13"/>
        <w:tabs>
          <w:tab w:val="left" w:pos="900"/>
        </w:tabs>
        <w:ind w:hanging="590"/>
        <w:rPr>
          <w:rFonts w:hint="eastAsia"/>
        </w:rPr>
      </w:pPr>
      <w:r>
        <w:t>双足全肌瘫（肌力</w:t>
      </w:r>
      <w:r>
        <w:rPr>
          <w:rFonts w:hint="eastAsia"/>
        </w:rPr>
        <w:t>2级</w:t>
      </w:r>
      <w:r>
        <w:rPr>
          <w:rFonts w:hint="eastAsia" w:hAnsi="宋体"/>
        </w:rPr>
        <w:t>以下</w:t>
      </w:r>
      <w:r>
        <w:t>）</w:t>
      </w:r>
      <w:r>
        <w:rPr>
          <w:rFonts w:hint="eastAsia"/>
        </w:rPr>
        <w:t>；</w:t>
      </w:r>
    </w:p>
    <w:p>
      <w:pPr>
        <w:pStyle w:val="13"/>
        <w:tabs>
          <w:tab w:val="left" w:pos="900"/>
        </w:tabs>
        <w:ind w:hanging="590"/>
        <w:rPr>
          <w:rFonts w:hint="eastAsia"/>
        </w:rPr>
      </w:pPr>
      <w:r>
        <w:rPr>
          <w:rFonts w:hint="eastAsia"/>
        </w:rPr>
        <w:t>排便伴排尿功能障碍，其中一项达重度。</w:t>
      </w:r>
    </w:p>
    <w:bookmarkEnd w:id="50"/>
    <w:p>
      <w:pPr>
        <w:pStyle w:val="12"/>
        <w:spacing w:before="120" w:after="120"/>
        <w:ind w:left="210" w:right="210"/>
        <w:rPr>
          <w:rFonts w:hint="eastAsia"/>
        </w:rPr>
      </w:pPr>
      <w:bookmarkStart w:id="51" w:name="OLE_LINK35"/>
      <w:r>
        <w:rPr>
          <w:rFonts w:hint="eastAsia"/>
        </w:rPr>
        <w:t>头面部损伤</w:t>
      </w:r>
    </w:p>
    <w:p>
      <w:pPr>
        <w:pStyle w:val="13"/>
        <w:numPr>
          <w:ilvl w:val="1"/>
          <w:numId w:val="29"/>
        </w:numPr>
        <w:tabs>
          <w:tab w:val="left" w:pos="900"/>
          <w:tab w:val="left" w:pos="1130"/>
        </w:tabs>
        <w:ind w:hanging="590"/>
      </w:pPr>
      <w:r>
        <w:rPr>
          <w:rFonts w:hint="eastAsia"/>
        </w:rPr>
        <w:t>符合</w:t>
      </w:r>
      <w:r>
        <w:t>容貌毁损</w:t>
      </w:r>
      <w:r>
        <w:rPr>
          <w:rFonts w:hint="eastAsia"/>
        </w:rPr>
        <w:t>（重度）</w:t>
      </w:r>
      <w:r>
        <w:t>标准之二项者；</w:t>
      </w:r>
    </w:p>
    <w:p>
      <w:pPr>
        <w:pStyle w:val="13"/>
        <w:tabs>
          <w:tab w:val="left" w:pos="900"/>
        </w:tabs>
        <w:ind w:hanging="590"/>
      </w:pPr>
      <w:r>
        <w:t>一眼球缺失、萎缩或者盲目5级，另一眼中度视力损害；</w:t>
      </w:r>
    </w:p>
    <w:p>
      <w:pPr>
        <w:pStyle w:val="13"/>
        <w:tabs>
          <w:tab w:val="left" w:pos="900"/>
        </w:tabs>
        <w:ind w:hanging="590"/>
      </w:pPr>
      <w:r>
        <w:t>双眼重度视力损害；</w:t>
      </w:r>
    </w:p>
    <w:p>
      <w:pPr>
        <w:pStyle w:val="13"/>
        <w:tabs>
          <w:tab w:val="left" w:pos="900"/>
        </w:tabs>
        <w:ind w:hanging="590"/>
        <w:rPr>
          <w:rFonts w:hint="eastAsia"/>
        </w:rPr>
      </w:pPr>
      <w:r>
        <w:t>双眼视野重度缺损，视野有效值</w:t>
      </w:r>
      <w:r>
        <w:rPr>
          <w:rFonts w:hint="eastAsia" w:hAnsi="宋体"/>
        </w:rPr>
        <w:t>≤</w:t>
      </w:r>
      <w:r>
        <w:t>16％（直径</w:t>
      </w:r>
      <w:r>
        <w:rPr>
          <w:rFonts w:hint="eastAsia" w:hAnsi="宋体"/>
        </w:rPr>
        <w:t>≤</w:t>
      </w:r>
      <w:r>
        <w:t>20°）；</w:t>
      </w:r>
    </w:p>
    <w:p>
      <w:pPr>
        <w:pStyle w:val="13"/>
        <w:tabs>
          <w:tab w:val="left" w:pos="900"/>
        </w:tabs>
        <w:ind w:hanging="590"/>
        <w:rPr>
          <w:rFonts w:hint="eastAsia"/>
        </w:rPr>
      </w:pPr>
      <w:r>
        <w:rPr>
          <w:rFonts w:hint="eastAsia"/>
        </w:rPr>
        <w:t>一侧眼睑严重畸形（或者</w:t>
      </w:r>
      <w:r>
        <w:t>眼睑重度下垂，遮盖全部瞳孔</w:t>
      </w:r>
      <w:r>
        <w:rPr>
          <w:rFonts w:hint="eastAsia"/>
        </w:rPr>
        <w:t>），伴另一眼盲目3级以上；</w:t>
      </w:r>
    </w:p>
    <w:p>
      <w:pPr>
        <w:pStyle w:val="13"/>
        <w:tabs>
          <w:tab w:val="left" w:pos="900"/>
        </w:tabs>
        <w:ind w:hanging="590"/>
        <w:rPr>
          <w:rFonts w:hint="eastAsia"/>
        </w:rPr>
      </w:pPr>
      <w:r>
        <w:t>双耳听力障碍</w:t>
      </w:r>
      <w:r>
        <w:rPr>
          <w:rFonts w:hint="eastAsia" w:hAnsi="宋体"/>
        </w:rPr>
        <w:t>≥</w:t>
      </w:r>
      <w:r>
        <w:t>81dB HL</w:t>
      </w:r>
      <w:r>
        <w:rPr>
          <w:rFonts w:hint="eastAsia"/>
        </w:rPr>
        <w:t>；</w:t>
      </w:r>
    </w:p>
    <w:p>
      <w:pPr>
        <w:pStyle w:val="13"/>
        <w:tabs>
          <w:tab w:val="left" w:pos="900"/>
        </w:tabs>
        <w:ind w:hanging="590"/>
      </w:pPr>
      <w:r>
        <w:t>一耳听力障碍</w:t>
      </w:r>
      <w:r>
        <w:rPr>
          <w:rFonts w:hint="eastAsia" w:hAnsi="宋体"/>
        </w:rPr>
        <w:t>≥</w:t>
      </w:r>
      <w:r>
        <w:t>91dB HL，另一耳听力障碍</w:t>
      </w:r>
      <w:r>
        <w:rPr>
          <w:rFonts w:hint="eastAsia" w:hAnsi="宋体"/>
        </w:rPr>
        <w:t>≥</w:t>
      </w:r>
      <w:r>
        <w:rPr>
          <w:rFonts w:hint="eastAsia"/>
        </w:rPr>
        <w:t>61</w:t>
      </w:r>
      <w:r>
        <w:t>dB HL；</w:t>
      </w:r>
    </w:p>
    <w:p>
      <w:pPr>
        <w:pStyle w:val="13"/>
        <w:tabs>
          <w:tab w:val="left" w:pos="900"/>
        </w:tabs>
        <w:ind w:hanging="590"/>
      </w:pPr>
      <w:bookmarkStart w:id="52" w:name="OLE_LINK37"/>
      <w:r>
        <w:t>舌根大部分缺损；</w:t>
      </w:r>
    </w:p>
    <w:p>
      <w:pPr>
        <w:pStyle w:val="13"/>
        <w:tabs>
          <w:tab w:val="left" w:pos="900"/>
        </w:tabs>
        <w:ind w:hanging="590"/>
      </w:pPr>
      <w:r>
        <w:t>咽或者咽后区损伤遗留吞咽功能障碍，只能吞咽流质食物</w:t>
      </w:r>
      <w:r>
        <w:rPr>
          <w:rFonts w:hint="eastAsia"/>
        </w:rPr>
        <w:t>。</w:t>
      </w:r>
    </w:p>
    <w:bookmarkEnd w:id="52"/>
    <w:p>
      <w:pPr>
        <w:pStyle w:val="12"/>
        <w:spacing w:before="120" w:after="120"/>
        <w:ind w:left="210" w:right="210"/>
        <w:rPr>
          <w:rFonts w:hint="eastAsia"/>
        </w:rPr>
      </w:pPr>
      <w:r>
        <w:rPr>
          <w:rFonts w:hint="eastAsia"/>
        </w:rPr>
        <w:t>颈部及胸部损伤</w:t>
      </w:r>
    </w:p>
    <w:p>
      <w:pPr>
        <w:pStyle w:val="13"/>
        <w:numPr>
          <w:ilvl w:val="1"/>
          <w:numId w:val="30"/>
        </w:numPr>
        <w:tabs>
          <w:tab w:val="left" w:pos="900"/>
        </w:tabs>
        <w:ind w:hanging="590"/>
        <w:rPr>
          <w:rFonts w:hint="eastAsia"/>
        </w:rPr>
      </w:pPr>
      <w:r>
        <w:t>未成年人甲状腺损伤致功能减退，药物依赖；</w:t>
      </w:r>
    </w:p>
    <w:p>
      <w:pPr>
        <w:pStyle w:val="13"/>
        <w:tabs>
          <w:tab w:val="left" w:pos="900"/>
        </w:tabs>
        <w:ind w:hanging="590"/>
      </w:pPr>
      <w:r>
        <w:t>甲状旁腺功能损害（重度）</w:t>
      </w:r>
      <w:r>
        <w:rPr>
          <w:rFonts w:hint="eastAsia"/>
        </w:rPr>
        <w:t>；</w:t>
      </w:r>
    </w:p>
    <w:bookmarkEnd w:id="51"/>
    <w:p>
      <w:pPr>
        <w:pStyle w:val="13"/>
        <w:tabs>
          <w:tab w:val="left" w:pos="900"/>
        </w:tabs>
        <w:ind w:hanging="590"/>
      </w:pPr>
      <w:bookmarkStart w:id="53" w:name="OLE_LINK36"/>
      <w:r>
        <w:t>食管狭窄，仅能进流质食物；</w:t>
      </w:r>
    </w:p>
    <w:p>
      <w:pPr>
        <w:pStyle w:val="13"/>
        <w:tabs>
          <w:tab w:val="left" w:pos="900"/>
        </w:tabs>
        <w:ind w:hanging="590"/>
      </w:pPr>
      <w:r>
        <w:t>食管损伤，肠代食管术后</w:t>
      </w:r>
      <w:r>
        <w:rPr>
          <w:rFonts w:hint="eastAsia"/>
        </w:rPr>
        <w:t>。</w:t>
      </w:r>
    </w:p>
    <w:bookmarkEnd w:id="53"/>
    <w:p>
      <w:pPr>
        <w:pStyle w:val="12"/>
        <w:spacing w:before="120" w:after="120"/>
        <w:ind w:left="210" w:right="210"/>
        <w:rPr>
          <w:rFonts w:hint="eastAsia"/>
        </w:rPr>
      </w:pPr>
      <w:bookmarkStart w:id="54" w:name="OLE_LINK38"/>
      <w:r>
        <w:rPr>
          <w:rFonts w:hint="eastAsia"/>
        </w:rPr>
        <w:t>腹部损伤</w:t>
      </w:r>
    </w:p>
    <w:p>
      <w:pPr>
        <w:pStyle w:val="13"/>
        <w:numPr>
          <w:ilvl w:val="1"/>
          <w:numId w:val="31"/>
        </w:numPr>
        <w:tabs>
          <w:tab w:val="left" w:pos="900"/>
        </w:tabs>
        <w:ind w:hanging="590"/>
      </w:pPr>
      <w:r>
        <w:t>胰头</w:t>
      </w:r>
      <w:r>
        <w:rPr>
          <w:rFonts w:hint="eastAsia"/>
        </w:rPr>
        <w:t>合并</w:t>
      </w:r>
      <w:r>
        <w:t>十二指肠切除术后；</w:t>
      </w:r>
    </w:p>
    <w:p>
      <w:pPr>
        <w:pStyle w:val="13"/>
        <w:tabs>
          <w:tab w:val="left" w:pos="900"/>
        </w:tabs>
        <w:ind w:hanging="590"/>
      </w:pPr>
      <w:r>
        <w:t>一侧肾切除术后，另一侧肾功能</w:t>
      </w:r>
      <w:r>
        <w:rPr>
          <w:rFonts w:hint="eastAsia"/>
        </w:rPr>
        <w:t>中度下降</w:t>
      </w:r>
      <w:r>
        <w:t>；</w:t>
      </w:r>
    </w:p>
    <w:p>
      <w:pPr>
        <w:pStyle w:val="13"/>
        <w:tabs>
          <w:tab w:val="left" w:pos="900"/>
        </w:tabs>
        <w:ind w:hanging="590"/>
      </w:pPr>
      <w:r>
        <w:t>肾移植术后，肾功能基本正常</w:t>
      </w:r>
      <w:r>
        <w:rPr>
          <w:rFonts w:hint="eastAsia"/>
        </w:rPr>
        <w:t>；</w:t>
      </w:r>
    </w:p>
    <w:p>
      <w:pPr>
        <w:pStyle w:val="13"/>
        <w:tabs>
          <w:tab w:val="left" w:pos="900"/>
        </w:tabs>
        <w:ind w:hanging="590"/>
      </w:pPr>
      <w:r>
        <w:t>肾上腺皮质功能明显减退；</w:t>
      </w:r>
    </w:p>
    <w:p>
      <w:pPr>
        <w:pStyle w:val="13"/>
        <w:tabs>
          <w:tab w:val="left" w:pos="900"/>
        </w:tabs>
        <w:ind w:hanging="590"/>
      </w:pPr>
      <w:r>
        <w:t>全胃切除术后；</w:t>
      </w:r>
    </w:p>
    <w:p>
      <w:pPr>
        <w:pStyle w:val="13"/>
        <w:tabs>
          <w:tab w:val="left" w:pos="900"/>
        </w:tabs>
        <w:ind w:hanging="590"/>
      </w:pPr>
      <w:r>
        <w:t>小肠部分切除术后，消化吸收功能障碍，部分依赖肠外营养；</w:t>
      </w:r>
    </w:p>
    <w:p>
      <w:pPr>
        <w:pStyle w:val="13"/>
        <w:tabs>
          <w:tab w:val="left" w:pos="900"/>
        </w:tabs>
        <w:ind w:hanging="590"/>
      </w:pPr>
      <w:r>
        <w:t>全结肠缺失</w:t>
      </w:r>
      <w:r>
        <w:rPr>
          <w:rFonts w:hint="eastAsia"/>
        </w:rPr>
        <w:t>。</w:t>
      </w:r>
    </w:p>
    <w:p>
      <w:pPr>
        <w:pStyle w:val="12"/>
        <w:spacing w:before="120" w:after="120"/>
        <w:ind w:left="210" w:right="210"/>
        <w:rPr>
          <w:rFonts w:hint="eastAsia"/>
        </w:rPr>
      </w:pPr>
      <w:r>
        <w:rPr>
          <w:rFonts w:hint="eastAsia"/>
        </w:rPr>
        <w:t>盆部及会阴部损伤</w:t>
      </w:r>
    </w:p>
    <w:p>
      <w:pPr>
        <w:pStyle w:val="13"/>
        <w:numPr>
          <w:ilvl w:val="1"/>
          <w:numId w:val="32"/>
        </w:numPr>
        <w:tabs>
          <w:tab w:val="left" w:pos="900"/>
          <w:tab w:val="left" w:pos="1130"/>
        </w:tabs>
        <w:ind w:hanging="590"/>
        <w:rPr>
          <w:rFonts w:hint="eastAsia"/>
        </w:rPr>
      </w:pPr>
      <w:r>
        <w:t>永久性输尿管腹壁造</w:t>
      </w:r>
      <w:r>
        <w:rPr>
          <w:rFonts w:hint="eastAsia"/>
        </w:rPr>
        <w:t>口</w:t>
      </w:r>
      <w:r>
        <w:t>；</w:t>
      </w:r>
    </w:p>
    <w:p>
      <w:pPr>
        <w:pStyle w:val="13"/>
        <w:tabs>
          <w:tab w:val="left" w:pos="900"/>
        </w:tabs>
        <w:ind w:hanging="590"/>
        <w:rPr>
          <w:rFonts w:hint="eastAsia"/>
        </w:rPr>
      </w:pPr>
      <w:r>
        <w:rPr>
          <w:rFonts w:hint="eastAsia"/>
        </w:rPr>
        <w:t>尿瘘难以修复；</w:t>
      </w:r>
    </w:p>
    <w:bookmarkEnd w:id="54"/>
    <w:p>
      <w:pPr>
        <w:pStyle w:val="13"/>
        <w:tabs>
          <w:tab w:val="left" w:pos="900"/>
        </w:tabs>
        <w:ind w:hanging="590"/>
        <w:rPr>
          <w:rFonts w:hint="eastAsia"/>
        </w:rPr>
      </w:pPr>
      <w:bookmarkStart w:id="55" w:name="OLE_LINK40"/>
      <w:bookmarkStart w:id="56" w:name="OLE_LINK26"/>
      <w:r>
        <w:rPr>
          <w:rFonts w:hint="eastAsia"/>
        </w:rPr>
        <w:t>直肠阴道瘘难以修复；</w:t>
      </w:r>
    </w:p>
    <w:p>
      <w:pPr>
        <w:pStyle w:val="13"/>
        <w:tabs>
          <w:tab w:val="left" w:pos="900"/>
        </w:tabs>
        <w:ind w:left="900" w:hanging="360"/>
        <w:rPr>
          <w:rFonts w:hint="eastAsia"/>
        </w:rPr>
      </w:pPr>
      <w:r>
        <w:rPr>
          <w:rFonts w:hint="eastAsia"/>
        </w:rPr>
        <w:t>阴道严重狭窄（仅可容纳一中指）；</w:t>
      </w:r>
    </w:p>
    <w:bookmarkEnd w:id="55"/>
    <w:bookmarkEnd w:id="56"/>
    <w:p>
      <w:pPr>
        <w:pStyle w:val="13"/>
        <w:tabs>
          <w:tab w:val="left" w:pos="900"/>
        </w:tabs>
        <w:ind w:hanging="590"/>
      </w:pPr>
      <w:bookmarkStart w:id="57" w:name="OLE_LINK41"/>
      <w:r>
        <w:t>双侧睾丸缺失</w:t>
      </w:r>
      <w:r>
        <w:rPr>
          <w:rFonts w:hint="eastAsia"/>
        </w:rPr>
        <w:t>或者完全</w:t>
      </w:r>
      <w:r>
        <w:t>萎缩，丧失</w:t>
      </w:r>
      <w:r>
        <w:rPr>
          <w:rFonts w:hint="eastAsia"/>
        </w:rPr>
        <w:t>生殖功能</w:t>
      </w:r>
      <w:r>
        <w:t>；</w:t>
      </w:r>
    </w:p>
    <w:p>
      <w:pPr>
        <w:pStyle w:val="13"/>
        <w:tabs>
          <w:tab w:val="left" w:pos="900"/>
        </w:tabs>
        <w:ind w:hanging="590"/>
        <w:rPr>
          <w:rFonts w:hint="eastAsia"/>
        </w:rPr>
      </w:pPr>
      <w:r>
        <w:t>阴茎</w:t>
      </w:r>
      <w:r>
        <w:rPr>
          <w:rFonts w:hint="eastAsia"/>
        </w:rPr>
        <w:t>大部分缺失（</w:t>
      </w:r>
      <w:r>
        <w:t>残留长度</w:t>
      </w:r>
      <w:r>
        <w:rPr>
          <w:rFonts w:hint="eastAsia" w:hAnsi="宋体"/>
        </w:rPr>
        <w:t>≤</w:t>
      </w:r>
      <w:r>
        <w:rPr>
          <w:rFonts w:hint="eastAsia"/>
        </w:rPr>
        <w:t>3.0</w:t>
      </w:r>
      <w:r>
        <w:t>cm</w:t>
      </w:r>
      <w:r>
        <w:rPr>
          <w:rFonts w:hint="eastAsia"/>
        </w:rPr>
        <w:t>）。</w:t>
      </w:r>
    </w:p>
    <w:bookmarkEnd w:id="57"/>
    <w:p>
      <w:pPr>
        <w:pStyle w:val="12"/>
        <w:spacing w:before="120" w:after="120"/>
        <w:ind w:left="210" w:right="210"/>
        <w:rPr>
          <w:rFonts w:hint="eastAsia"/>
        </w:rPr>
      </w:pPr>
      <w:bookmarkStart w:id="58" w:name="OLE_LINK42"/>
      <w:r>
        <w:rPr>
          <w:rFonts w:hint="eastAsia"/>
        </w:rPr>
        <w:t>脊柱、骨盆及四肢损伤</w:t>
      </w:r>
    </w:p>
    <w:p>
      <w:pPr>
        <w:pStyle w:val="13"/>
        <w:numPr>
          <w:ilvl w:val="1"/>
          <w:numId w:val="33"/>
        </w:numPr>
        <w:tabs>
          <w:tab w:val="left" w:pos="900"/>
          <w:tab w:val="left" w:pos="1130"/>
        </w:tabs>
        <w:ind w:hanging="590"/>
      </w:pPr>
      <w:r>
        <w:t>一上肢肘关节以上</w:t>
      </w:r>
      <w:r>
        <w:rPr>
          <w:rFonts w:hint="eastAsia"/>
        </w:rPr>
        <w:t>缺失</w:t>
      </w:r>
      <w:r>
        <w:t>；</w:t>
      </w:r>
    </w:p>
    <w:p>
      <w:pPr>
        <w:pStyle w:val="13"/>
        <w:tabs>
          <w:tab w:val="left" w:pos="900"/>
        </w:tabs>
        <w:ind w:left="896" w:hanging="357"/>
        <w:rPr>
          <w:rFonts w:hint="eastAsia"/>
        </w:rPr>
      </w:pPr>
      <w:r>
        <w:rPr>
          <w:rFonts w:hAnsi="宋体"/>
        </w:rPr>
        <w:t>一肢</w:t>
      </w:r>
      <w:r>
        <w:rPr>
          <w:rFonts w:hint="eastAsia" w:hAnsi="宋体"/>
        </w:rPr>
        <w:t>缺失（上肢腕关节以上，下肢膝关节以上），另一肢各大关节功能</w:t>
      </w:r>
      <w:r>
        <w:rPr>
          <w:rFonts w:hAnsi="宋体"/>
        </w:rPr>
        <w:t>丧失</w:t>
      </w:r>
      <w:r>
        <w:rPr>
          <w:rFonts w:hint="eastAsia" w:hAnsi="宋体"/>
        </w:rPr>
        <w:t>均达50%或者其余肢体任二大关节功能</w:t>
      </w:r>
      <w:r>
        <w:rPr>
          <w:rFonts w:hAnsi="宋体"/>
        </w:rPr>
        <w:t>丧失</w:t>
      </w:r>
      <w:r>
        <w:rPr>
          <w:rFonts w:hint="eastAsia" w:hAnsi="宋体"/>
        </w:rPr>
        <w:t>均达75%；</w:t>
      </w:r>
    </w:p>
    <w:p>
      <w:pPr>
        <w:pStyle w:val="13"/>
        <w:tabs>
          <w:tab w:val="left" w:pos="900"/>
        </w:tabs>
        <w:ind w:hanging="590"/>
      </w:pPr>
      <w:r>
        <w:rPr>
          <w:rFonts w:hint="eastAsia"/>
        </w:rPr>
        <w:t>手功能丧失分值</w:t>
      </w:r>
      <w:r>
        <w:rPr>
          <w:rFonts w:hint="eastAsia" w:hAnsi="宋体"/>
        </w:rPr>
        <w:t>≥</w:t>
      </w:r>
      <w:r>
        <w:rPr>
          <w:rFonts w:hint="eastAsia"/>
        </w:rPr>
        <w:t>120分。</w:t>
      </w:r>
    </w:p>
    <w:bookmarkEnd w:id="58"/>
    <w:p>
      <w:pPr>
        <w:pStyle w:val="11"/>
        <w:spacing w:before="120" w:after="120"/>
        <w:ind w:left="210" w:right="210"/>
      </w:pPr>
      <w:bookmarkStart w:id="59" w:name="_Toc384919725"/>
      <w:bookmarkStart w:id="60" w:name="_Toc386380665"/>
      <w:r>
        <w:t>六级</w:t>
      </w:r>
      <w:bookmarkEnd w:id="59"/>
      <w:bookmarkEnd w:id="60"/>
    </w:p>
    <w:p>
      <w:pPr>
        <w:pStyle w:val="12"/>
        <w:spacing w:before="120" w:after="120"/>
        <w:ind w:left="210" w:right="210"/>
        <w:rPr>
          <w:rFonts w:hint="eastAsia"/>
        </w:rPr>
      </w:pPr>
      <w:bookmarkStart w:id="61" w:name="OLE_LINK43"/>
      <w:r>
        <w:rPr>
          <w:rFonts w:hint="eastAsia"/>
        </w:rPr>
        <w:t>颅脑、脊髓及周围神经损伤</w:t>
      </w:r>
    </w:p>
    <w:p>
      <w:pPr>
        <w:pStyle w:val="13"/>
        <w:numPr>
          <w:ilvl w:val="1"/>
          <w:numId w:val="34"/>
        </w:numPr>
        <w:tabs>
          <w:tab w:val="left" w:pos="540"/>
        </w:tabs>
        <w:ind w:left="895" w:leftChars="256" w:hanging="357"/>
      </w:pPr>
      <w:r>
        <w:rPr>
          <w:rFonts w:hint="eastAsia"/>
        </w:rPr>
        <w:t xml:space="preserve"> </w:t>
      </w:r>
      <w:r>
        <w:t>精神障碍或者中度智能减退</w:t>
      </w:r>
      <w:r>
        <w:rPr>
          <w:rFonts w:hint="eastAsia"/>
        </w:rPr>
        <w:t>，日常生活能力部分受限，但能部分代偿，部分日常生活需要帮助；</w:t>
      </w:r>
    </w:p>
    <w:p>
      <w:pPr>
        <w:pStyle w:val="13"/>
        <w:tabs>
          <w:tab w:val="left" w:pos="900"/>
        </w:tabs>
        <w:ind w:left="540" w:firstLine="0"/>
        <w:rPr>
          <w:rFonts w:hint="eastAsia"/>
        </w:rPr>
      </w:pPr>
      <w:r>
        <w:t>外伤性癫痫（中度）；</w:t>
      </w:r>
    </w:p>
    <w:p>
      <w:pPr>
        <w:pStyle w:val="13"/>
        <w:tabs>
          <w:tab w:val="left" w:pos="900"/>
        </w:tabs>
        <w:ind w:left="540" w:firstLine="0"/>
        <w:rPr>
          <w:rFonts w:hint="eastAsia"/>
        </w:rPr>
      </w:pPr>
      <w:r>
        <w:t>尿崩症（重度）；</w:t>
      </w:r>
    </w:p>
    <w:p>
      <w:pPr>
        <w:pStyle w:val="13"/>
        <w:tabs>
          <w:tab w:val="left" w:pos="900"/>
        </w:tabs>
        <w:ind w:hanging="590"/>
        <w:rPr>
          <w:rFonts w:hint="eastAsia"/>
        </w:rPr>
      </w:pPr>
      <w:r>
        <w:rPr>
          <w:rFonts w:hint="eastAsia"/>
        </w:rPr>
        <w:t>一</w:t>
      </w:r>
      <w:r>
        <w:t>侧完全性面瘫；</w:t>
      </w:r>
    </w:p>
    <w:p>
      <w:pPr>
        <w:pStyle w:val="13"/>
        <w:tabs>
          <w:tab w:val="left" w:pos="900"/>
        </w:tabs>
        <w:ind w:left="540" w:firstLine="0"/>
        <w:rPr>
          <w:rFonts w:hint="eastAsia"/>
          <w:szCs w:val="21"/>
        </w:rPr>
      </w:pPr>
      <w:r>
        <w:rPr>
          <w:rFonts w:hint="eastAsia" w:hAnsi="宋体"/>
          <w:szCs w:val="21"/>
        </w:rPr>
        <w:t>三肢</w:t>
      </w:r>
      <w:r>
        <w:rPr>
          <w:rFonts w:hAnsi="宋体"/>
          <w:szCs w:val="21"/>
        </w:rPr>
        <w:t>瘫（肌力</w:t>
      </w:r>
      <w:r>
        <w:rPr>
          <w:rFonts w:hint="eastAsia" w:hAnsi="宋体"/>
          <w:szCs w:val="21"/>
        </w:rPr>
        <w:t>4级以下</w:t>
      </w:r>
      <w:r>
        <w:rPr>
          <w:rFonts w:hAnsi="宋体"/>
          <w:szCs w:val="21"/>
        </w:rPr>
        <w:t>）</w:t>
      </w:r>
      <w:r>
        <w:rPr>
          <w:szCs w:val="21"/>
        </w:rPr>
        <w:t>；</w:t>
      </w:r>
    </w:p>
    <w:p>
      <w:pPr>
        <w:pStyle w:val="13"/>
        <w:tabs>
          <w:tab w:val="left" w:pos="900"/>
        </w:tabs>
        <w:ind w:left="540" w:firstLine="0"/>
        <w:rPr>
          <w:rFonts w:hint="eastAsia"/>
        </w:rPr>
      </w:pPr>
      <w:r>
        <w:rPr>
          <w:rFonts w:hint="eastAsia"/>
        </w:rPr>
        <w:t>截瘫（肌力4级以下）伴排便或者排尿功能障碍；</w:t>
      </w:r>
    </w:p>
    <w:p>
      <w:pPr>
        <w:pStyle w:val="13"/>
        <w:tabs>
          <w:tab w:val="left" w:pos="900"/>
        </w:tabs>
        <w:ind w:left="540" w:firstLine="0"/>
      </w:pPr>
      <w:r>
        <w:t>双手部分肌瘫（肌力</w:t>
      </w:r>
      <w:r>
        <w:rPr>
          <w:rFonts w:hint="eastAsia"/>
        </w:rPr>
        <w:t>3级以下</w:t>
      </w:r>
      <w:r>
        <w:t>）；</w:t>
      </w:r>
    </w:p>
    <w:p>
      <w:pPr>
        <w:pStyle w:val="13"/>
        <w:tabs>
          <w:tab w:val="left" w:pos="900"/>
        </w:tabs>
        <w:ind w:left="540" w:firstLine="0"/>
      </w:pPr>
      <w:r>
        <w:t>一手全肌瘫（肌力</w:t>
      </w:r>
      <w:r>
        <w:rPr>
          <w:rFonts w:hint="eastAsia"/>
        </w:rPr>
        <w:t>2级</w:t>
      </w:r>
      <w:r>
        <w:rPr>
          <w:rFonts w:hint="eastAsia" w:hAnsi="宋体"/>
        </w:rPr>
        <w:t>以下</w:t>
      </w:r>
      <w:r>
        <w:t>）</w:t>
      </w:r>
      <w:r>
        <w:rPr>
          <w:rFonts w:hint="eastAsia"/>
        </w:rPr>
        <w:t>，伴相应腕关节功能丧失75%以上</w:t>
      </w:r>
      <w:r>
        <w:t>；</w:t>
      </w:r>
    </w:p>
    <w:p>
      <w:pPr>
        <w:pStyle w:val="13"/>
        <w:tabs>
          <w:tab w:val="left" w:pos="900"/>
        </w:tabs>
        <w:ind w:left="540" w:firstLine="0"/>
      </w:pPr>
      <w:r>
        <w:t>双足全肌瘫（肌力</w:t>
      </w:r>
      <w:r>
        <w:rPr>
          <w:rFonts w:hint="eastAsia"/>
        </w:rPr>
        <w:t>3级以下</w:t>
      </w:r>
      <w:r>
        <w:t>）；</w:t>
      </w:r>
    </w:p>
    <w:p>
      <w:pPr>
        <w:pStyle w:val="13"/>
        <w:tabs>
          <w:tab w:val="left" w:pos="900"/>
        </w:tabs>
        <w:ind w:left="540" w:firstLine="0"/>
        <w:rPr>
          <w:rFonts w:hint="eastAsia"/>
        </w:rPr>
      </w:pPr>
      <w:r>
        <w:t>阴茎器质性勃起障碍（中度）</w:t>
      </w:r>
      <w:r>
        <w:rPr>
          <w:rFonts w:hint="eastAsia"/>
        </w:rPr>
        <w:t>。</w:t>
      </w:r>
    </w:p>
    <w:p>
      <w:pPr>
        <w:pStyle w:val="12"/>
        <w:spacing w:before="120" w:after="120"/>
        <w:ind w:left="210" w:right="210"/>
        <w:rPr>
          <w:rFonts w:hint="eastAsia"/>
        </w:rPr>
      </w:pPr>
      <w:r>
        <w:rPr>
          <w:rFonts w:hint="eastAsia"/>
        </w:rPr>
        <w:t>头面部损伤</w:t>
      </w:r>
    </w:p>
    <w:p>
      <w:pPr>
        <w:pStyle w:val="13"/>
        <w:numPr>
          <w:ilvl w:val="1"/>
          <w:numId w:val="35"/>
        </w:numPr>
        <w:tabs>
          <w:tab w:val="left" w:pos="900"/>
        </w:tabs>
        <w:ind w:left="900" w:hanging="360"/>
      </w:pPr>
      <w:r>
        <w:t>符合容貌毁</w:t>
      </w:r>
      <w:r>
        <w:rPr>
          <w:rFonts w:hint="eastAsia"/>
        </w:rPr>
        <w:t>损（中度）</w:t>
      </w:r>
      <w:r>
        <w:t>标准之</w:t>
      </w:r>
      <w:r>
        <w:rPr>
          <w:rFonts w:hint="eastAsia"/>
        </w:rPr>
        <w:t>四</w:t>
      </w:r>
      <w:r>
        <w:t>项者</w:t>
      </w:r>
      <w:r>
        <w:rPr>
          <w:rFonts w:hint="eastAsia"/>
        </w:rPr>
        <w:t>；</w:t>
      </w:r>
    </w:p>
    <w:p>
      <w:pPr>
        <w:pStyle w:val="13"/>
        <w:tabs>
          <w:tab w:val="left" w:pos="900"/>
        </w:tabs>
        <w:ind w:left="900" w:hanging="360"/>
      </w:pPr>
      <w:r>
        <w:t>面部</w:t>
      </w:r>
      <w:r>
        <w:rPr>
          <w:rFonts w:hint="eastAsia"/>
        </w:rPr>
        <w:t>中心区</w:t>
      </w:r>
      <w:r>
        <w:t>条状瘢痕</w:t>
      </w:r>
      <w:r>
        <w:rPr>
          <w:rFonts w:hint="eastAsia"/>
        </w:rPr>
        <w:t>形成</w:t>
      </w:r>
      <w:r>
        <w:t>（宽度</w:t>
      </w:r>
      <w:r>
        <w:rPr>
          <w:rFonts w:hint="eastAsia"/>
        </w:rPr>
        <w:t>达</w:t>
      </w:r>
      <w:r>
        <w:t>0.3cm）</w:t>
      </w:r>
      <w:r>
        <w:rPr>
          <w:rFonts w:hint="eastAsia"/>
        </w:rPr>
        <w:t>，</w:t>
      </w:r>
      <w:r>
        <w:t>累计长度</w:t>
      </w:r>
      <w:r>
        <w:rPr>
          <w:rFonts w:hint="eastAsia"/>
        </w:rPr>
        <w:t>达</w:t>
      </w:r>
      <w:r>
        <w:t>20</w:t>
      </w:r>
      <w:r>
        <w:rPr>
          <w:rFonts w:hint="eastAsia"/>
        </w:rPr>
        <w:t>.0</w:t>
      </w:r>
      <w:r>
        <w:t>cm</w:t>
      </w:r>
      <w:r>
        <w:rPr>
          <w:rFonts w:hint="eastAsia"/>
        </w:rPr>
        <w:t>；</w:t>
      </w:r>
    </w:p>
    <w:p>
      <w:pPr>
        <w:pStyle w:val="13"/>
        <w:tabs>
          <w:tab w:val="left" w:pos="900"/>
        </w:tabs>
        <w:ind w:left="900" w:hanging="360"/>
      </w:pPr>
      <w:r>
        <w:t>面部片状细小瘢痕</w:t>
      </w:r>
      <w:r>
        <w:rPr>
          <w:rFonts w:hint="eastAsia"/>
        </w:rPr>
        <w:t>形成或者</w:t>
      </w:r>
      <w:r>
        <w:t>色素显著异常，累计达面部面积的80％；</w:t>
      </w:r>
    </w:p>
    <w:bookmarkEnd w:id="61"/>
    <w:p>
      <w:pPr>
        <w:pStyle w:val="13"/>
        <w:tabs>
          <w:tab w:val="left" w:pos="900"/>
        </w:tabs>
        <w:ind w:left="900" w:hanging="360"/>
      </w:pPr>
      <w:bookmarkStart w:id="62" w:name="OLE_LINK44"/>
      <w:r>
        <w:t>双侧眼睑严重畸形；</w:t>
      </w:r>
    </w:p>
    <w:p>
      <w:pPr>
        <w:pStyle w:val="13"/>
        <w:tabs>
          <w:tab w:val="left" w:pos="900"/>
        </w:tabs>
        <w:ind w:left="900" w:hanging="360"/>
      </w:pPr>
      <w:r>
        <w:t>一眼</w:t>
      </w:r>
      <w:r>
        <w:rPr>
          <w:rFonts w:hint="eastAsia"/>
        </w:rPr>
        <w:t>球缺失、萎缩或者盲目5级</w:t>
      </w:r>
      <w:r>
        <w:t>，另一眼视力</w:t>
      </w:r>
      <w:r>
        <w:rPr>
          <w:rFonts w:hint="eastAsia" w:hAnsi="宋体"/>
        </w:rPr>
        <w:t>≤</w:t>
      </w:r>
      <w:r>
        <w:t>0.5；</w:t>
      </w:r>
    </w:p>
    <w:p>
      <w:pPr>
        <w:pStyle w:val="13"/>
        <w:tabs>
          <w:tab w:val="left" w:pos="900"/>
        </w:tabs>
        <w:ind w:left="900" w:hanging="360"/>
        <w:rPr>
          <w:rFonts w:hint="eastAsia"/>
        </w:rPr>
      </w:pPr>
      <w:r>
        <w:t>一眼重度视力损害，另一眼中度视力损害；</w:t>
      </w:r>
    </w:p>
    <w:p>
      <w:pPr>
        <w:pStyle w:val="13"/>
        <w:tabs>
          <w:tab w:val="left" w:pos="900"/>
        </w:tabs>
        <w:ind w:left="900" w:hanging="360"/>
      </w:pPr>
      <w:r>
        <w:rPr>
          <w:rFonts w:hint="eastAsia"/>
        </w:rPr>
        <w:t>双眼</w:t>
      </w:r>
      <w:r>
        <w:t>视野中度缺损，视野有效值</w:t>
      </w:r>
      <w:r>
        <w:rPr>
          <w:rFonts w:hint="eastAsia" w:hAnsi="宋体"/>
        </w:rPr>
        <w:t>≤</w:t>
      </w:r>
      <w:r>
        <w:t>48％（直径</w:t>
      </w:r>
      <w:r>
        <w:rPr>
          <w:rFonts w:hint="eastAsia" w:hAnsi="宋体"/>
        </w:rPr>
        <w:t>≤</w:t>
      </w:r>
      <w:r>
        <w:t>60°）</w:t>
      </w:r>
      <w:r>
        <w:rPr>
          <w:rFonts w:hint="eastAsia"/>
        </w:rPr>
        <w:t>；</w:t>
      </w:r>
    </w:p>
    <w:p>
      <w:pPr>
        <w:pStyle w:val="13"/>
        <w:tabs>
          <w:tab w:val="left" w:pos="900"/>
        </w:tabs>
        <w:ind w:left="900" w:hanging="360"/>
      </w:pPr>
      <w:r>
        <w:t>双侧前庭平衡功能丧失</w:t>
      </w:r>
      <w:r>
        <w:rPr>
          <w:rFonts w:hint="eastAsia"/>
        </w:rPr>
        <w:t>，睁眼行走困难，不能并足站立</w:t>
      </w:r>
      <w:r>
        <w:t>；</w:t>
      </w:r>
    </w:p>
    <w:p>
      <w:pPr>
        <w:pStyle w:val="13"/>
        <w:tabs>
          <w:tab w:val="left" w:pos="900"/>
        </w:tabs>
        <w:ind w:left="900" w:hanging="360"/>
      </w:pPr>
      <w:r>
        <w:t>唇缺</w:t>
      </w:r>
      <w:r>
        <w:rPr>
          <w:rFonts w:hint="eastAsia"/>
        </w:rPr>
        <w:t>损</w:t>
      </w:r>
      <w:r>
        <w:t>或者畸形</w:t>
      </w:r>
      <w:r>
        <w:rPr>
          <w:rFonts w:hint="eastAsia"/>
        </w:rPr>
        <w:t>，</w:t>
      </w:r>
      <w:r>
        <w:t>累计相当于上唇2/3以上</w:t>
      </w:r>
      <w:r>
        <w:rPr>
          <w:rFonts w:hint="eastAsia"/>
        </w:rPr>
        <w:t>。</w:t>
      </w:r>
    </w:p>
    <w:bookmarkEnd w:id="62"/>
    <w:p>
      <w:pPr>
        <w:pStyle w:val="12"/>
        <w:spacing w:before="120" w:after="120"/>
        <w:ind w:left="210" w:right="210"/>
        <w:rPr>
          <w:rFonts w:hint="eastAsia"/>
        </w:rPr>
      </w:pPr>
      <w:bookmarkStart w:id="63" w:name="OLE_LINK45"/>
      <w:r>
        <w:rPr>
          <w:rFonts w:hint="eastAsia"/>
        </w:rPr>
        <w:t>颈部及胸部损伤</w:t>
      </w:r>
    </w:p>
    <w:p>
      <w:pPr>
        <w:pStyle w:val="13"/>
        <w:numPr>
          <w:ilvl w:val="1"/>
          <w:numId w:val="36"/>
        </w:numPr>
        <w:tabs>
          <w:tab w:val="left" w:pos="900"/>
        </w:tabs>
        <w:ind w:left="900" w:hanging="360"/>
      </w:pPr>
      <w:r>
        <w:t>双侧喉返神经损伤</w:t>
      </w:r>
      <w:r>
        <w:rPr>
          <w:rFonts w:hint="eastAsia"/>
        </w:rPr>
        <w:t>，影响功能；</w:t>
      </w:r>
    </w:p>
    <w:bookmarkEnd w:id="63"/>
    <w:p>
      <w:pPr>
        <w:pStyle w:val="13"/>
        <w:tabs>
          <w:tab w:val="left" w:pos="900"/>
        </w:tabs>
        <w:ind w:left="900" w:hanging="360"/>
      </w:pPr>
      <w:bookmarkStart w:id="64" w:name="OLE_LINK46"/>
      <w:r>
        <w:t>一侧胸廓成形术后，切除6根以上肋骨；</w:t>
      </w:r>
    </w:p>
    <w:p>
      <w:pPr>
        <w:pStyle w:val="13"/>
        <w:tabs>
          <w:tab w:val="left" w:pos="900"/>
        </w:tabs>
        <w:ind w:left="900" w:hanging="360"/>
      </w:pPr>
      <w:r>
        <w:t>女性双侧乳房完全缺失；</w:t>
      </w:r>
    </w:p>
    <w:p>
      <w:pPr>
        <w:pStyle w:val="13"/>
        <w:tabs>
          <w:tab w:val="left" w:pos="900"/>
        </w:tabs>
        <w:ind w:left="900" w:hanging="360"/>
      </w:pPr>
      <w:r>
        <w:t>心脏瓣膜置换术后</w:t>
      </w:r>
      <w:r>
        <w:rPr>
          <w:rFonts w:hint="eastAsia"/>
        </w:rPr>
        <w:t>，心功能不全</w:t>
      </w:r>
      <w:r>
        <w:t>；</w:t>
      </w:r>
    </w:p>
    <w:p>
      <w:pPr>
        <w:pStyle w:val="13"/>
        <w:tabs>
          <w:tab w:val="left" w:pos="900"/>
        </w:tabs>
        <w:ind w:left="900" w:hanging="360"/>
      </w:pPr>
      <w:r>
        <w:rPr>
          <w:rFonts w:hint="eastAsia"/>
        </w:rPr>
        <w:t>心功能不全，</w:t>
      </w:r>
      <w:r>
        <w:t>心功能</w:t>
      </w:r>
      <w:r>
        <w:rPr>
          <w:rFonts w:hint="eastAsia" w:hAnsi="宋体" w:cs="宋体"/>
        </w:rPr>
        <w:t>Ⅱ</w:t>
      </w:r>
      <w:r>
        <w:t>级；</w:t>
      </w:r>
    </w:p>
    <w:p>
      <w:pPr>
        <w:pStyle w:val="13"/>
        <w:tabs>
          <w:tab w:val="left" w:pos="900"/>
        </w:tabs>
        <w:ind w:left="900" w:hanging="360"/>
      </w:pPr>
      <w:r>
        <w:t>器质性心律失常安装永久性起搏器后；</w:t>
      </w:r>
    </w:p>
    <w:p>
      <w:pPr>
        <w:pStyle w:val="13"/>
        <w:tabs>
          <w:tab w:val="left" w:pos="900"/>
        </w:tabs>
        <w:ind w:left="900" w:hanging="360"/>
      </w:pPr>
      <w:r>
        <w:t>严重器质性心律失常</w:t>
      </w:r>
      <w:r>
        <w:rPr>
          <w:rFonts w:hint="eastAsia"/>
        </w:rPr>
        <w:t>；</w:t>
      </w:r>
    </w:p>
    <w:p>
      <w:pPr>
        <w:pStyle w:val="13"/>
        <w:tabs>
          <w:tab w:val="left" w:pos="900"/>
        </w:tabs>
        <w:ind w:left="900" w:hanging="360"/>
      </w:pPr>
      <w:r>
        <w:t>两肺叶切除</w:t>
      </w:r>
      <w:r>
        <w:rPr>
          <w:rFonts w:hint="eastAsia"/>
        </w:rPr>
        <w:t>术后。</w:t>
      </w:r>
    </w:p>
    <w:bookmarkEnd w:id="64"/>
    <w:p>
      <w:pPr>
        <w:pStyle w:val="12"/>
        <w:spacing w:before="120" w:after="120"/>
        <w:ind w:left="210" w:right="210"/>
        <w:rPr>
          <w:rFonts w:hint="eastAsia"/>
        </w:rPr>
      </w:pPr>
      <w:bookmarkStart w:id="65" w:name="OLE_LINK47"/>
      <w:r>
        <w:rPr>
          <w:rFonts w:hint="eastAsia"/>
        </w:rPr>
        <w:t>腹部损伤</w:t>
      </w:r>
    </w:p>
    <w:p>
      <w:pPr>
        <w:pStyle w:val="13"/>
        <w:numPr>
          <w:ilvl w:val="1"/>
          <w:numId w:val="37"/>
        </w:numPr>
        <w:tabs>
          <w:tab w:val="left" w:pos="900"/>
          <w:tab w:val="left" w:pos="1130"/>
        </w:tabs>
        <w:ind w:hanging="590"/>
      </w:pPr>
      <w:r>
        <w:t>肝切除1/2以上；</w:t>
      </w:r>
    </w:p>
    <w:p>
      <w:pPr>
        <w:pStyle w:val="13"/>
        <w:tabs>
          <w:tab w:val="left" w:pos="900"/>
        </w:tabs>
        <w:ind w:hanging="590"/>
      </w:pPr>
      <w:r>
        <w:rPr>
          <w:rFonts w:hint="eastAsia"/>
        </w:rPr>
        <w:t>肝衰竭早期</w:t>
      </w:r>
      <w:r>
        <w:t>；</w:t>
      </w:r>
    </w:p>
    <w:p>
      <w:pPr>
        <w:pStyle w:val="13"/>
        <w:tabs>
          <w:tab w:val="left" w:pos="900"/>
        </w:tabs>
        <w:ind w:hanging="590"/>
      </w:pPr>
      <w:r>
        <w:t>胰腺部分切除术后伴功能障碍，需药物治疗；</w:t>
      </w:r>
    </w:p>
    <w:p>
      <w:pPr>
        <w:pStyle w:val="13"/>
        <w:tabs>
          <w:tab w:val="left" w:pos="900"/>
        </w:tabs>
        <w:ind w:hanging="590"/>
      </w:pPr>
      <w:r>
        <w:t>肾功能</w:t>
      </w:r>
      <w:r>
        <w:rPr>
          <w:rFonts w:hint="eastAsia"/>
        </w:rPr>
        <w:t>中度下降</w:t>
      </w:r>
      <w:r>
        <w:t>；</w:t>
      </w:r>
    </w:p>
    <w:bookmarkEnd w:id="65"/>
    <w:p>
      <w:pPr>
        <w:pStyle w:val="13"/>
        <w:tabs>
          <w:tab w:val="left" w:pos="900"/>
        </w:tabs>
        <w:ind w:hanging="590"/>
      </w:pPr>
      <w:bookmarkStart w:id="66" w:name="OLE_LINK48"/>
      <w:r>
        <w:t>小肠部分切除术后，影响消化吸收功能</w:t>
      </w:r>
      <w:r>
        <w:rPr>
          <w:rFonts w:hint="eastAsia"/>
        </w:rPr>
        <w:t>，完全依赖肠内营养。</w:t>
      </w:r>
    </w:p>
    <w:p>
      <w:pPr>
        <w:pStyle w:val="12"/>
        <w:spacing w:before="120" w:after="120"/>
        <w:ind w:left="210" w:right="210"/>
        <w:rPr>
          <w:rFonts w:hint="eastAsia"/>
        </w:rPr>
      </w:pPr>
      <w:r>
        <w:rPr>
          <w:rFonts w:hint="eastAsia"/>
        </w:rPr>
        <w:t>盆部及会阴部损伤</w:t>
      </w:r>
    </w:p>
    <w:p>
      <w:pPr>
        <w:pStyle w:val="13"/>
        <w:numPr>
          <w:ilvl w:val="1"/>
          <w:numId w:val="38"/>
        </w:numPr>
        <w:tabs>
          <w:tab w:val="left" w:pos="900"/>
          <w:tab w:val="left" w:pos="1130"/>
        </w:tabs>
        <w:ind w:left="900" w:hanging="360"/>
        <w:rPr>
          <w:rFonts w:hint="eastAsia"/>
        </w:rPr>
      </w:pPr>
      <w:r>
        <w:t>双侧卵巢</w:t>
      </w:r>
      <w:r>
        <w:rPr>
          <w:rFonts w:hint="eastAsia"/>
        </w:rPr>
        <w:t>缺失或者萎缩，完全丧失功能；</w:t>
      </w:r>
    </w:p>
    <w:p>
      <w:pPr>
        <w:pStyle w:val="13"/>
        <w:tabs>
          <w:tab w:val="left" w:pos="900"/>
        </w:tabs>
        <w:ind w:left="900" w:hanging="360"/>
      </w:pPr>
      <w:r>
        <w:t>未成年人双侧卵巢萎缩，</w:t>
      </w:r>
      <w:r>
        <w:rPr>
          <w:rFonts w:hint="eastAsia"/>
        </w:rPr>
        <w:t>部分</w:t>
      </w:r>
      <w:r>
        <w:t>丧失功能；</w:t>
      </w:r>
    </w:p>
    <w:p>
      <w:pPr>
        <w:pStyle w:val="13"/>
        <w:tabs>
          <w:tab w:val="left" w:pos="900"/>
        </w:tabs>
        <w:ind w:left="900" w:hanging="360"/>
      </w:pPr>
      <w:r>
        <w:t>未成年人双侧睾丸萎缩，</w:t>
      </w:r>
      <w:r>
        <w:rPr>
          <w:rFonts w:hint="eastAsia"/>
        </w:rPr>
        <w:t>部分</w:t>
      </w:r>
      <w:r>
        <w:t>丧失功能</w:t>
      </w:r>
      <w:r>
        <w:rPr>
          <w:rFonts w:hint="eastAsia"/>
        </w:rPr>
        <w:t>；</w:t>
      </w:r>
    </w:p>
    <w:bookmarkEnd w:id="66"/>
    <w:p>
      <w:pPr>
        <w:pStyle w:val="13"/>
        <w:tabs>
          <w:tab w:val="left" w:pos="900"/>
        </w:tabs>
        <w:ind w:left="900" w:hanging="360"/>
        <w:rPr>
          <w:rFonts w:hint="eastAsia"/>
        </w:rPr>
      </w:pPr>
      <w:bookmarkStart w:id="67" w:name="OLE_LINK50"/>
      <w:r>
        <w:rPr>
          <w:rFonts w:hint="eastAsia"/>
        </w:rPr>
        <w:t>会阴部瘢痕挛缩伴阴道狭窄；</w:t>
      </w:r>
    </w:p>
    <w:p>
      <w:pPr>
        <w:pStyle w:val="13"/>
        <w:tabs>
          <w:tab w:val="left" w:pos="900"/>
        </w:tabs>
        <w:ind w:left="900" w:hanging="360"/>
      </w:pPr>
      <w:r>
        <w:rPr>
          <w:rFonts w:hint="eastAsia"/>
        </w:rPr>
        <w:t>睾丸或者附</w:t>
      </w:r>
      <w:r>
        <w:t>睾</w:t>
      </w:r>
      <w:r>
        <w:rPr>
          <w:rFonts w:hint="eastAsia"/>
        </w:rPr>
        <w:t>损伤，生殖功能重度损害</w:t>
      </w:r>
      <w:r>
        <w:t>；</w:t>
      </w:r>
    </w:p>
    <w:p>
      <w:pPr>
        <w:pStyle w:val="13"/>
        <w:tabs>
          <w:tab w:val="left" w:pos="900"/>
        </w:tabs>
        <w:ind w:left="900" w:hanging="360"/>
      </w:pPr>
      <w:r>
        <w:t>双侧输精管</w:t>
      </w:r>
      <w:r>
        <w:rPr>
          <w:rFonts w:hint="eastAsia"/>
        </w:rPr>
        <w:t>损伤难以</w:t>
      </w:r>
      <w:r>
        <w:t>修复；</w:t>
      </w:r>
    </w:p>
    <w:bookmarkEnd w:id="67"/>
    <w:p>
      <w:pPr>
        <w:pStyle w:val="13"/>
        <w:tabs>
          <w:tab w:val="left" w:pos="900"/>
        </w:tabs>
        <w:ind w:left="900" w:hanging="360"/>
        <w:rPr>
          <w:rFonts w:hint="eastAsia"/>
        </w:rPr>
      </w:pPr>
      <w:bookmarkStart w:id="68" w:name="OLE_LINK51"/>
      <w:r>
        <w:t>阴茎</w:t>
      </w:r>
      <w:r>
        <w:rPr>
          <w:rFonts w:hint="eastAsia"/>
        </w:rPr>
        <w:t>严重畸形，不能实施性交行为。</w:t>
      </w:r>
    </w:p>
    <w:bookmarkEnd w:id="68"/>
    <w:p>
      <w:pPr>
        <w:pStyle w:val="12"/>
        <w:spacing w:before="120" w:after="120"/>
        <w:ind w:left="210" w:right="210"/>
        <w:rPr>
          <w:rFonts w:hint="eastAsia"/>
        </w:rPr>
      </w:pPr>
      <w:bookmarkStart w:id="69" w:name="OLE_LINK54"/>
      <w:r>
        <w:rPr>
          <w:rFonts w:hint="eastAsia"/>
        </w:rPr>
        <w:t>脊柱、骨盆及四肢损伤</w:t>
      </w:r>
    </w:p>
    <w:p>
      <w:pPr>
        <w:pStyle w:val="13"/>
        <w:numPr>
          <w:ilvl w:val="1"/>
          <w:numId w:val="39"/>
        </w:numPr>
        <w:tabs>
          <w:tab w:val="left" w:pos="900"/>
          <w:tab w:val="left" w:pos="1130"/>
        </w:tabs>
        <w:ind w:hanging="590"/>
        <w:rPr>
          <w:rFonts w:hint="eastAsia"/>
        </w:rPr>
      </w:pPr>
      <w:r>
        <w:rPr>
          <w:rFonts w:hint="eastAsia"/>
        </w:rPr>
        <w:t>脊柱骨折后遗留30</w:t>
      </w:r>
      <w:r>
        <w:rPr>
          <w:rFonts w:hint="eastAsia" w:hAnsi="宋体"/>
        </w:rPr>
        <w:t>°</w:t>
      </w:r>
      <w:r>
        <w:rPr>
          <w:rFonts w:hint="eastAsia"/>
        </w:rPr>
        <w:t>以上侧弯或者后凸畸形；</w:t>
      </w:r>
    </w:p>
    <w:p>
      <w:pPr>
        <w:pStyle w:val="13"/>
        <w:tabs>
          <w:tab w:val="left" w:pos="900"/>
        </w:tabs>
        <w:ind w:hanging="590"/>
      </w:pPr>
      <w:r>
        <w:t>一</w:t>
      </w:r>
      <w:r>
        <w:rPr>
          <w:rFonts w:hint="eastAsia"/>
        </w:rPr>
        <w:t>肢缺失（</w:t>
      </w:r>
      <w:r>
        <w:t>上肢腕关节以上</w:t>
      </w:r>
      <w:r>
        <w:rPr>
          <w:rFonts w:hint="eastAsia"/>
        </w:rPr>
        <w:t>，下肢膝关节以上）；</w:t>
      </w:r>
    </w:p>
    <w:p>
      <w:pPr>
        <w:pStyle w:val="13"/>
        <w:tabs>
          <w:tab w:val="left" w:pos="900"/>
        </w:tabs>
        <w:ind w:hanging="590"/>
        <w:rPr>
          <w:rFonts w:hint="eastAsia"/>
        </w:rPr>
      </w:pPr>
      <w:r>
        <w:t>双足跖跗关节以上缺失</w:t>
      </w:r>
      <w:r>
        <w:rPr>
          <w:rFonts w:hint="eastAsia"/>
        </w:rPr>
        <w:t>；</w:t>
      </w:r>
    </w:p>
    <w:p>
      <w:pPr>
        <w:pStyle w:val="13"/>
        <w:tabs>
          <w:tab w:val="left" w:pos="900"/>
        </w:tabs>
        <w:ind w:hanging="590"/>
      </w:pPr>
      <w:r>
        <w:rPr>
          <w:rFonts w:hint="eastAsia"/>
        </w:rPr>
        <w:t>手或者足功能丧失分值</w:t>
      </w:r>
      <w:r>
        <w:rPr>
          <w:rFonts w:hint="eastAsia" w:hAnsi="宋体"/>
        </w:rPr>
        <w:t>≥90</w:t>
      </w:r>
      <w:r>
        <w:rPr>
          <w:rFonts w:hint="eastAsia"/>
        </w:rPr>
        <w:t>分。</w:t>
      </w:r>
    </w:p>
    <w:bookmarkEnd w:id="69"/>
    <w:p>
      <w:pPr>
        <w:pStyle w:val="12"/>
        <w:spacing w:before="120" w:after="120"/>
        <w:ind w:left="210" w:right="210"/>
        <w:rPr>
          <w:rFonts w:hint="eastAsia"/>
        </w:rPr>
      </w:pPr>
      <w:bookmarkStart w:id="70" w:name="OLE_LINK55"/>
      <w:r>
        <w:rPr>
          <w:rFonts w:hint="eastAsia"/>
        </w:rPr>
        <w:t>体表及其他损伤</w:t>
      </w:r>
    </w:p>
    <w:p>
      <w:pPr>
        <w:pStyle w:val="13"/>
        <w:numPr>
          <w:ilvl w:val="1"/>
          <w:numId w:val="40"/>
        </w:numPr>
        <w:tabs>
          <w:tab w:val="left" w:pos="900"/>
          <w:tab w:val="left" w:pos="1130"/>
        </w:tabs>
        <w:ind w:hanging="590"/>
      </w:pPr>
      <w:r>
        <w:t>皮肤瘢痕形成达体表面积50％；</w:t>
      </w:r>
    </w:p>
    <w:bookmarkEnd w:id="70"/>
    <w:p>
      <w:pPr>
        <w:pStyle w:val="13"/>
        <w:tabs>
          <w:tab w:val="left" w:pos="900"/>
        </w:tabs>
        <w:ind w:hanging="590"/>
      </w:pPr>
      <w:bookmarkStart w:id="71" w:name="OLE_LINK56"/>
      <w:r>
        <w:rPr>
          <w:rFonts w:hint="eastAsia"/>
        </w:rPr>
        <w:t>非重型</w:t>
      </w:r>
      <w:r>
        <w:t>再生障碍性贫血。</w:t>
      </w:r>
    </w:p>
    <w:bookmarkEnd w:id="71"/>
    <w:p>
      <w:pPr>
        <w:pStyle w:val="11"/>
        <w:spacing w:before="120" w:after="120"/>
        <w:ind w:left="210" w:right="210"/>
      </w:pPr>
      <w:bookmarkStart w:id="72" w:name="_Toc384919726"/>
      <w:bookmarkStart w:id="73" w:name="_Toc386380666"/>
      <w:r>
        <w:t>七级</w:t>
      </w:r>
      <w:bookmarkEnd w:id="72"/>
      <w:bookmarkEnd w:id="73"/>
    </w:p>
    <w:p>
      <w:pPr>
        <w:pStyle w:val="12"/>
        <w:spacing w:before="120" w:after="120"/>
        <w:ind w:left="210" w:right="210"/>
        <w:rPr>
          <w:rFonts w:hint="eastAsia"/>
        </w:rPr>
      </w:pPr>
      <w:bookmarkStart w:id="74" w:name="OLE_LINK57"/>
      <w:r>
        <w:rPr>
          <w:rFonts w:hint="eastAsia"/>
        </w:rPr>
        <w:t>颅脑、脊髓及周围神经损伤</w:t>
      </w:r>
    </w:p>
    <w:p>
      <w:pPr>
        <w:pStyle w:val="13"/>
        <w:numPr>
          <w:ilvl w:val="1"/>
          <w:numId w:val="41"/>
        </w:numPr>
        <w:tabs>
          <w:tab w:val="left" w:pos="900"/>
          <w:tab w:val="left" w:pos="1130"/>
        </w:tabs>
        <w:ind w:hanging="590"/>
        <w:rPr>
          <w:rFonts w:hint="eastAsia"/>
        </w:rPr>
      </w:pPr>
      <w:r>
        <w:t>精神障碍或者轻度智能减退，日常生活有关的活动能力</w:t>
      </w:r>
      <w:r>
        <w:rPr>
          <w:rFonts w:hint="eastAsia"/>
        </w:rPr>
        <w:t>极重度</w:t>
      </w:r>
      <w:r>
        <w:t>受限；</w:t>
      </w:r>
    </w:p>
    <w:p>
      <w:pPr>
        <w:pStyle w:val="13"/>
        <w:tabs>
          <w:tab w:val="left" w:pos="900"/>
        </w:tabs>
        <w:ind w:hanging="590"/>
      </w:pPr>
      <w:r>
        <w:t>不完全</w:t>
      </w:r>
      <w:r>
        <w:rPr>
          <w:rFonts w:hint="eastAsia"/>
        </w:rPr>
        <w:t>感觉</w:t>
      </w:r>
      <w:r>
        <w:t>性失语；</w:t>
      </w:r>
    </w:p>
    <w:p>
      <w:pPr>
        <w:pStyle w:val="13"/>
        <w:tabs>
          <w:tab w:val="left" w:pos="900"/>
        </w:tabs>
        <w:ind w:hanging="590"/>
        <w:rPr>
          <w:rFonts w:hint="eastAsia"/>
        </w:rPr>
      </w:pPr>
      <w:r>
        <w:rPr>
          <w:rFonts w:hint="eastAsia"/>
        </w:rPr>
        <w:t>双侧大部分面瘫；</w:t>
      </w:r>
    </w:p>
    <w:p>
      <w:pPr>
        <w:pStyle w:val="13"/>
        <w:tabs>
          <w:tab w:val="left" w:pos="900"/>
        </w:tabs>
        <w:ind w:hanging="590"/>
      </w:pPr>
      <w:r>
        <w:rPr>
          <w:rFonts w:hint="eastAsia"/>
        </w:rPr>
        <w:t>偏</w:t>
      </w:r>
      <w:r>
        <w:t>瘫</w:t>
      </w:r>
      <w:r>
        <w:rPr>
          <w:rFonts w:hint="eastAsia"/>
        </w:rPr>
        <w:t>（</w:t>
      </w:r>
      <w:r>
        <w:t>肌力</w:t>
      </w:r>
      <w:r>
        <w:rPr>
          <w:rFonts w:hint="eastAsia"/>
        </w:rPr>
        <w:t>4</w:t>
      </w:r>
      <w:r>
        <w:t>级</w:t>
      </w:r>
      <w:r>
        <w:rPr>
          <w:rFonts w:hint="eastAsia"/>
        </w:rPr>
        <w:t>以下）</w:t>
      </w:r>
      <w:r>
        <w:t>；</w:t>
      </w:r>
    </w:p>
    <w:p>
      <w:pPr>
        <w:pStyle w:val="13"/>
        <w:tabs>
          <w:tab w:val="left" w:pos="900"/>
        </w:tabs>
        <w:ind w:hanging="590"/>
        <w:rPr>
          <w:rFonts w:hint="eastAsia"/>
        </w:rPr>
      </w:pPr>
      <w:r>
        <w:rPr>
          <w:rFonts w:hint="eastAsia"/>
        </w:rPr>
        <w:t>截瘫（肌力4级以下）；</w:t>
      </w:r>
    </w:p>
    <w:p>
      <w:pPr>
        <w:pStyle w:val="13"/>
        <w:tabs>
          <w:tab w:val="left" w:pos="900"/>
        </w:tabs>
        <w:ind w:hanging="590"/>
        <w:rPr>
          <w:rFonts w:hint="eastAsia"/>
        </w:rPr>
      </w:pPr>
      <w:r>
        <w:rPr>
          <w:rFonts w:hint="eastAsia"/>
        </w:rPr>
        <w:t>单肢瘫（肌力3级以下）；</w:t>
      </w:r>
    </w:p>
    <w:p>
      <w:pPr>
        <w:pStyle w:val="13"/>
        <w:tabs>
          <w:tab w:val="left" w:pos="900"/>
        </w:tabs>
        <w:ind w:hanging="590"/>
      </w:pPr>
      <w:r>
        <w:t>一手大部分肌瘫（肌力</w:t>
      </w:r>
      <w:r>
        <w:rPr>
          <w:rFonts w:hint="eastAsia"/>
        </w:rPr>
        <w:t>2级以下</w:t>
      </w:r>
      <w:r>
        <w:t>）；</w:t>
      </w:r>
    </w:p>
    <w:p>
      <w:pPr>
        <w:pStyle w:val="13"/>
        <w:tabs>
          <w:tab w:val="left" w:pos="900"/>
        </w:tabs>
        <w:ind w:hanging="590"/>
        <w:rPr>
          <w:rFonts w:hint="eastAsia"/>
        </w:rPr>
      </w:pPr>
      <w:r>
        <w:t>一足全肌瘫（肌力</w:t>
      </w:r>
      <w:r>
        <w:rPr>
          <w:rFonts w:hint="eastAsia"/>
        </w:rPr>
        <w:t>2级以下</w:t>
      </w:r>
      <w:r>
        <w:t>）</w:t>
      </w:r>
      <w:r>
        <w:rPr>
          <w:rFonts w:hint="eastAsia"/>
        </w:rPr>
        <w:t>；</w:t>
      </w:r>
    </w:p>
    <w:p>
      <w:pPr>
        <w:pStyle w:val="13"/>
        <w:tabs>
          <w:tab w:val="left" w:pos="900"/>
        </w:tabs>
        <w:ind w:hanging="590"/>
        <w:rPr>
          <w:rFonts w:hint="eastAsia"/>
        </w:rPr>
      </w:pPr>
      <w:r>
        <w:rPr>
          <w:rFonts w:hint="eastAsia"/>
        </w:rPr>
        <w:t>重度排便功能障碍或者重度排尿功能障碍。</w:t>
      </w:r>
    </w:p>
    <w:bookmarkEnd w:id="74"/>
    <w:p>
      <w:pPr>
        <w:pStyle w:val="12"/>
        <w:spacing w:before="120" w:after="120"/>
        <w:ind w:left="210" w:right="210"/>
        <w:rPr>
          <w:rFonts w:hint="eastAsia"/>
        </w:rPr>
      </w:pPr>
      <w:bookmarkStart w:id="75" w:name="OLE_LINK59"/>
      <w:r>
        <w:rPr>
          <w:rFonts w:hint="eastAsia"/>
        </w:rPr>
        <w:t>头面部损伤</w:t>
      </w:r>
    </w:p>
    <w:p>
      <w:pPr>
        <w:pStyle w:val="13"/>
        <w:numPr>
          <w:ilvl w:val="1"/>
          <w:numId w:val="42"/>
        </w:numPr>
        <w:tabs>
          <w:tab w:val="left" w:pos="900"/>
          <w:tab w:val="left" w:pos="1130"/>
        </w:tabs>
        <w:ind w:hanging="590"/>
      </w:pPr>
      <w:r>
        <w:t>面部</w:t>
      </w:r>
      <w:r>
        <w:rPr>
          <w:rFonts w:hint="eastAsia"/>
        </w:rPr>
        <w:t>中心区</w:t>
      </w:r>
      <w:r>
        <w:t>条状瘢痕</w:t>
      </w:r>
      <w:r>
        <w:rPr>
          <w:rFonts w:hint="eastAsia"/>
        </w:rPr>
        <w:t>形成</w:t>
      </w:r>
      <w:r>
        <w:t>（宽度</w:t>
      </w:r>
      <w:r>
        <w:rPr>
          <w:rFonts w:hint="eastAsia"/>
        </w:rPr>
        <w:t>达</w:t>
      </w:r>
      <w:r>
        <w:t>0.3cm）</w:t>
      </w:r>
      <w:r>
        <w:rPr>
          <w:rFonts w:hint="eastAsia"/>
        </w:rPr>
        <w:t>，</w:t>
      </w:r>
      <w:r>
        <w:t>累计长度</w:t>
      </w:r>
      <w:r>
        <w:rPr>
          <w:rFonts w:hint="eastAsia"/>
        </w:rPr>
        <w:t>达</w:t>
      </w:r>
      <w:r>
        <w:t>15</w:t>
      </w:r>
      <w:r>
        <w:rPr>
          <w:rFonts w:hint="eastAsia"/>
        </w:rPr>
        <w:t>.0</w:t>
      </w:r>
      <w:r>
        <w:t>cm；</w:t>
      </w:r>
    </w:p>
    <w:bookmarkEnd w:id="75"/>
    <w:p>
      <w:pPr>
        <w:pStyle w:val="13"/>
        <w:tabs>
          <w:tab w:val="left" w:pos="900"/>
        </w:tabs>
        <w:ind w:hanging="590"/>
      </w:pPr>
      <w:bookmarkStart w:id="76" w:name="OLE_LINK60"/>
      <w:r>
        <w:t>面部片状细小瘢痕</w:t>
      </w:r>
      <w:r>
        <w:rPr>
          <w:rFonts w:hint="eastAsia"/>
        </w:rPr>
        <w:t>形成或者</w:t>
      </w:r>
      <w:r>
        <w:t>色素显著异常，累计达面部面积的50％；</w:t>
      </w:r>
    </w:p>
    <w:p>
      <w:pPr>
        <w:pStyle w:val="13"/>
        <w:tabs>
          <w:tab w:val="left" w:pos="900"/>
        </w:tabs>
        <w:ind w:hanging="590"/>
        <w:rPr>
          <w:rFonts w:hint="eastAsia"/>
        </w:rPr>
      </w:pPr>
      <w:r>
        <w:t>双侧眼睑重度下垂，遮盖全部瞳孔；</w:t>
      </w:r>
    </w:p>
    <w:p>
      <w:pPr>
        <w:pStyle w:val="13"/>
        <w:tabs>
          <w:tab w:val="left" w:pos="900"/>
        </w:tabs>
        <w:ind w:left="900" w:hanging="360"/>
        <w:rPr>
          <w:rFonts w:hint="eastAsia"/>
        </w:rPr>
      </w:pPr>
      <w:r>
        <w:t>一眼球缺失</w:t>
      </w:r>
      <w:r>
        <w:rPr>
          <w:rFonts w:hint="eastAsia"/>
        </w:rPr>
        <w:t>或者</w:t>
      </w:r>
      <w:r>
        <w:t>萎缩；</w:t>
      </w:r>
    </w:p>
    <w:p>
      <w:pPr>
        <w:pStyle w:val="13"/>
        <w:tabs>
          <w:tab w:val="left" w:pos="900"/>
        </w:tabs>
        <w:ind w:hanging="590"/>
      </w:pPr>
      <w:r>
        <w:t>双眼中度视力损害；</w:t>
      </w:r>
    </w:p>
    <w:p>
      <w:pPr>
        <w:pStyle w:val="13"/>
        <w:tabs>
          <w:tab w:val="left" w:pos="900"/>
        </w:tabs>
        <w:ind w:hanging="590"/>
      </w:pPr>
      <w:r>
        <w:t>一眼</w:t>
      </w:r>
      <w:r>
        <w:rPr>
          <w:rFonts w:hint="eastAsia"/>
        </w:rPr>
        <w:t>盲目3级</w:t>
      </w:r>
      <w:r>
        <w:t>，另一眼视力</w:t>
      </w:r>
      <w:r>
        <w:rPr>
          <w:rFonts w:hint="eastAsia" w:hAnsi="宋体"/>
        </w:rPr>
        <w:t>≤</w:t>
      </w:r>
      <w:r>
        <w:t>0.5；</w:t>
      </w:r>
    </w:p>
    <w:p>
      <w:pPr>
        <w:pStyle w:val="13"/>
        <w:tabs>
          <w:tab w:val="left" w:pos="900"/>
        </w:tabs>
        <w:ind w:hanging="590"/>
        <w:rPr>
          <w:rFonts w:hint="eastAsia"/>
        </w:rPr>
      </w:pPr>
      <w:r>
        <w:rPr>
          <w:rFonts w:hint="eastAsia"/>
        </w:rPr>
        <w:t>双眼偏盲；</w:t>
      </w:r>
    </w:p>
    <w:p>
      <w:pPr>
        <w:pStyle w:val="13"/>
        <w:tabs>
          <w:tab w:val="left" w:pos="900"/>
        </w:tabs>
        <w:ind w:hanging="590"/>
        <w:rPr>
          <w:rFonts w:hint="eastAsia"/>
        </w:rPr>
      </w:pPr>
      <w:r>
        <w:rPr>
          <w:rFonts w:hint="eastAsia"/>
        </w:rPr>
        <w:t>一侧眼睑严重畸形（或者</w:t>
      </w:r>
      <w:r>
        <w:t>眼睑重度下垂，遮盖全部瞳孔</w:t>
      </w:r>
      <w:r>
        <w:rPr>
          <w:rFonts w:hint="eastAsia"/>
        </w:rPr>
        <w:t>）合并该眼盲目3级以上；</w:t>
      </w:r>
    </w:p>
    <w:p>
      <w:pPr>
        <w:pStyle w:val="13"/>
        <w:tabs>
          <w:tab w:val="left" w:pos="900"/>
        </w:tabs>
        <w:ind w:hanging="590"/>
        <w:rPr>
          <w:rFonts w:hint="eastAsia"/>
        </w:rPr>
      </w:pPr>
      <w:r>
        <w:rPr>
          <w:rFonts w:hint="eastAsia"/>
        </w:rPr>
        <w:t>一耳</w:t>
      </w:r>
      <w:r>
        <w:t>听力障碍</w:t>
      </w:r>
      <w:r>
        <w:rPr>
          <w:rFonts w:hint="eastAsia" w:hAnsi="宋体"/>
        </w:rPr>
        <w:t>≥</w:t>
      </w:r>
      <w:r>
        <w:rPr>
          <w:rFonts w:hint="eastAsia"/>
        </w:rPr>
        <w:t>8</w:t>
      </w:r>
      <w:r>
        <w:t>1dB HL</w:t>
      </w:r>
      <w:r>
        <w:rPr>
          <w:rFonts w:hint="eastAsia"/>
        </w:rPr>
        <w:t>，另一耳</w:t>
      </w:r>
      <w:r>
        <w:t>听力障碍</w:t>
      </w:r>
      <w:r>
        <w:rPr>
          <w:rFonts w:hint="eastAsia" w:hAnsi="宋体"/>
        </w:rPr>
        <w:t>≥</w:t>
      </w:r>
      <w:r>
        <w:rPr>
          <w:rFonts w:hint="eastAsia"/>
        </w:rPr>
        <w:t>6</w:t>
      </w:r>
      <w:r>
        <w:t>1dB HL；</w:t>
      </w:r>
    </w:p>
    <w:p>
      <w:pPr>
        <w:pStyle w:val="13"/>
        <w:tabs>
          <w:tab w:val="left" w:pos="900"/>
        </w:tabs>
        <w:ind w:hanging="590"/>
      </w:pPr>
      <w:r>
        <w:t>咽或者咽后区损伤遗留吞咽功能障碍，只能吞咽半流质食物</w:t>
      </w:r>
      <w:r>
        <w:rPr>
          <w:rFonts w:hint="eastAsia"/>
        </w:rPr>
        <w:t>；</w:t>
      </w:r>
    </w:p>
    <w:p>
      <w:pPr>
        <w:pStyle w:val="13"/>
        <w:tabs>
          <w:tab w:val="left" w:pos="900"/>
        </w:tabs>
        <w:ind w:hanging="590"/>
        <w:rPr>
          <w:rFonts w:hint="eastAsia"/>
        </w:rPr>
      </w:pPr>
      <w:r>
        <w:rPr>
          <w:rFonts w:hint="eastAsia"/>
        </w:rPr>
        <w:t>上颌骨或者下颌骨缺损达1/4；</w:t>
      </w:r>
    </w:p>
    <w:p>
      <w:pPr>
        <w:pStyle w:val="13"/>
        <w:tabs>
          <w:tab w:val="left" w:pos="900"/>
        </w:tabs>
        <w:ind w:left="900" w:hanging="360"/>
        <w:rPr>
          <w:rFonts w:hint="eastAsia"/>
        </w:rPr>
      </w:pPr>
      <w:r>
        <w:t>上颌骨或者下颌骨部分缺损</w:t>
      </w:r>
      <w:r>
        <w:rPr>
          <w:rFonts w:hint="eastAsia"/>
        </w:rPr>
        <w:t>伴</w:t>
      </w:r>
      <w:r>
        <w:t>牙齿缺失1</w:t>
      </w:r>
      <w:r>
        <w:rPr>
          <w:rFonts w:hint="eastAsia"/>
        </w:rPr>
        <w:t>4</w:t>
      </w:r>
      <w:r>
        <w:t>枚以上</w:t>
      </w:r>
      <w:r>
        <w:rPr>
          <w:rFonts w:hint="eastAsia"/>
        </w:rPr>
        <w:t>；</w:t>
      </w:r>
    </w:p>
    <w:bookmarkEnd w:id="76"/>
    <w:p>
      <w:pPr>
        <w:pStyle w:val="13"/>
        <w:tabs>
          <w:tab w:val="left" w:pos="900"/>
        </w:tabs>
        <w:ind w:hanging="590"/>
        <w:rPr>
          <w:rFonts w:hint="eastAsia"/>
        </w:rPr>
      </w:pPr>
      <w:bookmarkStart w:id="77" w:name="OLE_LINK61"/>
      <w:r>
        <w:rPr>
          <w:rFonts w:hint="eastAsia"/>
        </w:rPr>
        <w:t>颌面部软组织缺损，伴发涎漏。</w:t>
      </w:r>
    </w:p>
    <w:bookmarkEnd w:id="77"/>
    <w:p>
      <w:pPr>
        <w:pStyle w:val="12"/>
        <w:spacing w:before="120" w:after="120"/>
        <w:ind w:left="210" w:right="210"/>
        <w:rPr>
          <w:rFonts w:hint="eastAsia"/>
        </w:rPr>
      </w:pPr>
      <w:bookmarkStart w:id="78" w:name="OLE_LINK62"/>
      <w:r>
        <w:rPr>
          <w:rFonts w:hint="eastAsia"/>
        </w:rPr>
        <w:t>颈部及胸部损伤</w:t>
      </w:r>
    </w:p>
    <w:p>
      <w:pPr>
        <w:pStyle w:val="13"/>
        <w:numPr>
          <w:ilvl w:val="1"/>
          <w:numId w:val="43"/>
        </w:numPr>
        <w:tabs>
          <w:tab w:val="left" w:pos="900"/>
        </w:tabs>
        <w:ind w:left="900" w:hanging="360"/>
        <w:rPr>
          <w:rFonts w:hint="eastAsia"/>
        </w:rPr>
      </w:pPr>
      <w:r>
        <w:t>甲状腺功能损害（</w:t>
      </w:r>
      <w:r>
        <w:rPr>
          <w:rFonts w:hint="eastAsia"/>
        </w:rPr>
        <w:t>重</w:t>
      </w:r>
      <w:r>
        <w:t>度）</w:t>
      </w:r>
      <w:r>
        <w:rPr>
          <w:rFonts w:hint="eastAsia"/>
        </w:rPr>
        <w:t>；</w:t>
      </w:r>
    </w:p>
    <w:p>
      <w:pPr>
        <w:pStyle w:val="13"/>
        <w:tabs>
          <w:tab w:val="left" w:pos="900"/>
        </w:tabs>
        <w:ind w:left="900" w:hanging="360"/>
        <w:rPr>
          <w:rFonts w:hint="eastAsia"/>
        </w:rPr>
      </w:pPr>
      <w:r>
        <w:t>甲状旁腺功能损害（中度）；</w:t>
      </w:r>
    </w:p>
    <w:p>
      <w:pPr>
        <w:pStyle w:val="13"/>
        <w:tabs>
          <w:tab w:val="left" w:pos="900"/>
        </w:tabs>
        <w:ind w:hanging="590"/>
      </w:pPr>
      <w:r>
        <w:t>食管狭窄，</w:t>
      </w:r>
      <w:r>
        <w:rPr>
          <w:rFonts w:hint="eastAsia"/>
        </w:rPr>
        <w:t>仅</w:t>
      </w:r>
      <w:r>
        <w:t>能进半流质食物；食管重建术后</w:t>
      </w:r>
      <w:r>
        <w:rPr>
          <w:rFonts w:hint="eastAsia"/>
        </w:rPr>
        <w:t>并发反</w:t>
      </w:r>
      <w:r>
        <w:t>流性食管炎；</w:t>
      </w:r>
    </w:p>
    <w:p>
      <w:pPr>
        <w:pStyle w:val="13"/>
        <w:tabs>
          <w:tab w:val="left" w:pos="900"/>
        </w:tabs>
        <w:ind w:hanging="590"/>
        <w:rPr>
          <w:rFonts w:hint="eastAsia"/>
        </w:rPr>
      </w:pPr>
      <w:r>
        <w:rPr>
          <w:rFonts w:hint="eastAsia"/>
        </w:rPr>
        <w:t>颏颈粘连（中度）；</w:t>
      </w:r>
    </w:p>
    <w:p>
      <w:pPr>
        <w:pStyle w:val="13"/>
        <w:tabs>
          <w:tab w:val="left" w:pos="900"/>
        </w:tabs>
        <w:ind w:hanging="590"/>
      </w:pPr>
      <w:r>
        <w:t>女性双侧乳房大部分缺</w:t>
      </w:r>
      <w:r>
        <w:rPr>
          <w:rFonts w:hint="eastAsia"/>
        </w:rPr>
        <w:t>失</w:t>
      </w:r>
      <w:r>
        <w:t>或者严重畸形；</w:t>
      </w:r>
    </w:p>
    <w:p>
      <w:pPr>
        <w:pStyle w:val="13"/>
        <w:tabs>
          <w:tab w:val="left" w:pos="900"/>
        </w:tabs>
        <w:ind w:hanging="590"/>
      </w:pPr>
      <w:r>
        <w:t>未成年或者育龄女性双侧乳头完全缺失；</w:t>
      </w:r>
    </w:p>
    <w:p>
      <w:pPr>
        <w:pStyle w:val="13"/>
        <w:tabs>
          <w:tab w:val="left" w:pos="900"/>
        </w:tabs>
        <w:ind w:hanging="590"/>
      </w:pPr>
      <w:r>
        <w:t>胸廓畸形，胸式呼吸受限；</w:t>
      </w:r>
    </w:p>
    <w:bookmarkEnd w:id="78"/>
    <w:p>
      <w:pPr>
        <w:pStyle w:val="13"/>
        <w:tabs>
          <w:tab w:val="left" w:pos="900"/>
        </w:tabs>
        <w:ind w:hanging="590"/>
      </w:pPr>
      <w:bookmarkStart w:id="79" w:name="OLE_LINK63"/>
      <w:r>
        <w:rPr>
          <w:rFonts w:hint="eastAsia"/>
        </w:rPr>
        <w:t>一</w:t>
      </w:r>
      <w:r>
        <w:t>肺叶</w:t>
      </w:r>
      <w:r>
        <w:rPr>
          <w:rFonts w:hint="eastAsia"/>
        </w:rPr>
        <w:t>切除，</w:t>
      </w:r>
      <w:r>
        <w:t>并肺段或</w:t>
      </w:r>
      <w:r>
        <w:rPr>
          <w:rFonts w:hint="eastAsia"/>
        </w:rPr>
        <w:t>者肺组织</w:t>
      </w:r>
      <w:r>
        <w:t>楔形切除</w:t>
      </w:r>
      <w:r>
        <w:rPr>
          <w:rFonts w:hint="eastAsia"/>
        </w:rPr>
        <w:t>术后。</w:t>
      </w:r>
      <w:r>
        <w:t xml:space="preserve"> </w:t>
      </w:r>
    </w:p>
    <w:p>
      <w:pPr>
        <w:pStyle w:val="12"/>
        <w:spacing w:before="120" w:after="120"/>
        <w:ind w:left="210" w:right="210"/>
        <w:rPr>
          <w:rFonts w:hint="eastAsia"/>
        </w:rPr>
      </w:pPr>
      <w:r>
        <w:rPr>
          <w:rFonts w:hint="eastAsia"/>
        </w:rPr>
        <w:t>腹部损伤</w:t>
      </w:r>
    </w:p>
    <w:p>
      <w:pPr>
        <w:pStyle w:val="13"/>
        <w:numPr>
          <w:ilvl w:val="1"/>
          <w:numId w:val="44"/>
        </w:numPr>
        <w:tabs>
          <w:tab w:val="left" w:pos="900"/>
          <w:tab w:val="left" w:pos="1130"/>
        </w:tabs>
        <w:ind w:hanging="590"/>
      </w:pPr>
      <w:r>
        <w:t>肝切除1/3以上；</w:t>
      </w:r>
    </w:p>
    <w:p>
      <w:pPr>
        <w:pStyle w:val="13"/>
        <w:tabs>
          <w:tab w:val="left" w:pos="900"/>
        </w:tabs>
        <w:ind w:hanging="590"/>
      </w:pPr>
      <w:r>
        <w:t>一侧肾切除术后</w:t>
      </w:r>
      <w:r>
        <w:rPr>
          <w:rFonts w:hint="eastAsia"/>
        </w:rPr>
        <w:t>；</w:t>
      </w:r>
    </w:p>
    <w:p>
      <w:pPr>
        <w:pStyle w:val="13"/>
        <w:tabs>
          <w:tab w:val="left" w:pos="900"/>
        </w:tabs>
        <w:ind w:hanging="590"/>
      </w:pPr>
      <w:r>
        <w:rPr>
          <w:rFonts w:hint="eastAsia"/>
        </w:rPr>
        <w:t>胆道损伤</w:t>
      </w:r>
      <w:r>
        <w:t>胆肠吻合术后，反复发作逆行性胆道感染；</w:t>
      </w:r>
    </w:p>
    <w:p>
      <w:pPr>
        <w:pStyle w:val="13"/>
        <w:tabs>
          <w:tab w:val="left" w:pos="900"/>
        </w:tabs>
        <w:ind w:hanging="590"/>
      </w:pPr>
      <w:r>
        <w:t>未成年人脾切除术后；</w:t>
      </w:r>
    </w:p>
    <w:p>
      <w:pPr>
        <w:pStyle w:val="13"/>
        <w:tabs>
          <w:tab w:val="left" w:pos="900"/>
        </w:tabs>
        <w:ind w:hanging="590"/>
        <w:rPr>
          <w:rFonts w:hint="eastAsia"/>
        </w:rPr>
      </w:pPr>
      <w:r>
        <w:t>小肠部分（包括回盲部）切除术后；</w:t>
      </w:r>
    </w:p>
    <w:p>
      <w:pPr>
        <w:pStyle w:val="13"/>
        <w:tabs>
          <w:tab w:val="left" w:pos="900"/>
        </w:tabs>
        <w:ind w:hanging="590"/>
      </w:pPr>
      <w:r>
        <w:t>永久性结肠造口；</w:t>
      </w:r>
    </w:p>
    <w:p>
      <w:pPr>
        <w:pStyle w:val="13"/>
        <w:tabs>
          <w:tab w:val="left" w:pos="900"/>
        </w:tabs>
        <w:ind w:hanging="590"/>
      </w:pPr>
      <w:r>
        <w:t>肠瘘长期不愈（1年以上）</w:t>
      </w:r>
      <w:r>
        <w:rPr>
          <w:rFonts w:hint="eastAsia"/>
        </w:rPr>
        <w:t>。</w:t>
      </w:r>
    </w:p>
    <w:bookmarkEnd w:id="79"/>
    <w:p>
      <w:pPr>
        <w:pStyle w:val="12"/>
        <w:spacing w:before="120" w:after="120"/>
        <w:ind w:left="210" w:right="210"/>
        <w:rPr>
          <w:rFonts w:hint="eastAsia"/>
        </w:rPr>
      </w:pPr>
      <w:bookmarkStart w:id="80" w:name="OLE_LINK58"/>
      <w:bookmarkStart w:id="81" w:name="OLE_LINK64"/>
      <w:r>
        <w:rPr>
          <w:rFonts w:hint="eastAsia"/>
        </w:rPr>
        <w:t>盆部及会阴部损伤</w:t>
      </w:r>
    </w:p>
    <w:p>
      <w:pPr>
        <w:pStyle w:val="13"/>
        <w:numPr>
          <w:ilvl w:val="1"/>
          <w:numId w:val="45"/>
        </w:numPr>
        <w:tabs>
          <w:tab w:val="left" w:pos="900"/>
          <w:tab w:val="left" w:pos="1130"/>
        </w:tabs>
        <w:ind w:hanging="590"/>
      </w:pPr>
      <w:r>
        <w:rPr>
          <w:rFonts w:hint="eastAsia"/>
        </w:rPr>
        <w:t>永久性膀胱造口；</w:t>
      </w:r>
    </w:p>
    <w:bookmarkEnd w:id="80"/>
    <w:p>
      <w:pPr>
        <w:pStyle w:val="13"/>
        <w:tabs>
          <w:tab w:val="left" w:pos="900"/>
        </w:tabs>
        <w:ind w:hanging="590"/>
        <w:rPr>
          <w:rFonts w:hint="eastAsia"/>
        </w:rPr>
      </w:pPr>
      <w:r>
        <w:rPr>
          <w:rFonts w:hint="eastAsia"/>
        </w:rPr>
        <w:t>膀胱部分切除术后合并轻度排尿功能障碍；</w:t>
      </w:r>
    </w:p>
    <w:p>
      <w:pPr>
        <w:pStyle w:val="13"/>
        <w:tabs>
          <w:tab w:val="left" w:pos="900"/>
        </w:tabs>
        <w:ind w:hanging="590"/>
        <w:rPr>
          <w:rFonts w:hint="eastAsia"/>
        </w:rPr>
      </w:pPr>
      <w:r>
        <w:rPr>
          <w:rFonts w:hint="eastAsia"/>
        </w:rPr>
        <w:t>原位肠代膀胱术后；</w:t>
      </w:r>
    </w:p>
    <w:p>
      <w:pPr>
        <w:pStyle w:val="13"/>
        <w:tabs>
          <w:tab w:val="left" w:pos="900"/>
        </w:tabs>
        <w:ind w:hanging="590"/>
        <w:rPr>
          <w:rFonts w:hint="eastAsia"/>
        </w:rPr>
      </w:pPr>
      <w:r>
        <w:t>子宫</w:t>
      </w:r>
      <w:r>
        <w:rPr>
          <w:rFonts w:hint="eastAsia"/>
        </w:rPr>
        <w:t>大部分</w:t>
      </w:r>
      <w:r>
        <w:t>切除术后</w:t>
      </w:r>
      <w:r>
        <w:rPr>
          <w:rFonts w:hint="eastAsia"/>
        </w:rPr>
        <w:t>；</w:t>
      </w:r>
    </w:p>
    <w:p>
      <w:pPr>
        <w:pStyle w:val="13"/>
        <w:tabs>
          <w:tab w:val="left" w:pos="900"/>
        </w:tabs>
        <w:ind w:hanging="590"/>
        <w:rPr>
          <w:rFonts w:hint="eastAsia"/>
        </w:rPr>
      </w:pPr>
      <w:r>
        <w:rPr>
          <w:rFonts w:hint="eastAsia"/>
        </w:rPr>
        <w:t>睾丸损伤，血睾酮降低，需药物替代治疗；</w:t>
      </w:r>
    </w:p>
    <w:p>
      <w:pPr>
        <w:pStyle w:val="13"/>
        <w:tabs>
          <w:tab w:val="left" w:pos="900"/>
        </w:tabs>
        <w:ind w:left="900" w:hanging="360"/>
        <w:rPr>
          <w:rFonts w:hint="eastAsia"/>
        </w:rPr>
      </w:pPr>
      <w:r>
        <w:rPr>
          <w:rFonts w:hint="eastAsia"/>
        </w:rPr>
        <w:t>未成年人一侧睾丸缺失或者严重萎缩；</w:t>
      </w:r>
    </w:p>
    <w:p>
      <w:pPr>
        <w:pStyle w:val="13"/>
        <w:tabs>
          <w:tab w:val="left" w:pos="900"/>
        </w:tabs>
        <w:ind w:hanging="590"/>
        <w:rPr>
          <w:rFonts w:hint="eastAsia"/>
          <w:szCs w:val="21"/>
        </w:rPr>
      </w:pPr>
      <w:r>
        <w:rPr>
          <w:rFonts w:hAnsi="宋体"/>
          <w:szCs w:val="21"/>
        </w:rPr>
        <w:t>阴茎</w:t>
      </w:r>
      <w:r>
        <w:rPr>
          <w:rFonts w:hint="eastAsia" w:hAnsi="宋体"/>
          <w:szCs w:val="21"/>
        </w:rPr>
        <w:t>畸形</w:t>
      </w:r>
      <w:r>
        <w:rPr>
          <w:rFonts w:hAnsi="宋体"/>
          <w:szCs w:val="21"/>
        </w:rPr>
        <w:t>，</w:t>
      </w:r>
      <w:r>
        <w:rPr>
          <w:rFonts w:hint="eastAsia" w:hAnsi="宋体"/>
          <w:szCs w:val="21"/>
        </w:rPr>
        <w:t>难以实施性交行为</w:t>
      </w:r>
      <w:r>
        <w:rPr>
          <w:rFonts w:hAnsi="宋体"/>
          <w:szCs w:val="21"/>
        </w:rPr>
        <w:t>；</w:t>
      </w:r>
    </w:p>
    <w:p>
      <w:pPr>
        <w:pStyle w:val="13"/>
        <w:tabs>
          <w:tab w:val="left" w:pos="900"/>
        </w:tabs>
        <w:ind w:hanging="590"/>
      </w:pPr>
      <w:r>
        <w:t>尿道狭窄（重度）</w:t>
      </w:r>
      <w:r>
        <w:rPr>
          <w:rFonts w:hint="eastAsia"/>
        </w:rPr>
        <w:t>或者成形术后；</w:t>
      </w:r>
    </w:p>
    <w:p>
      <w:pPr>
        <w:pStyle w:val="13"/>
        <w:tabs>
          <w:tab w:val="left" w:pos="900"/>
        </w:tabs>
        <w:ind w:hanging="590"/>
        <w:rPr>
          <w:rFonts w:hint="eastAsia"/>
        </w:rPr>
      </w:pPr>
      <w:r>
        <w:rPr>
          <w:rFonts w:hint="eastAsia"/>
        </w:rPr>
        <w:t>肛管或者直肠损伤，排便功能重度障碍或者肛门失禁（重度）；</w:t>
      </w:r>
    </w:p>
    <w:p>
      <w:pPr>
        <w:pStyle w:val="13"/>
        <w:tabs>
          <w:tab w:val="left" w:pos="900"/>
        </w:tabs>
        <w:ind w:hanging="590"/>
        <w:rPr>
          <w:rFonts w:hint="eastAsia"/>
          <w:szCs w:val="21"/>
        </w:rPr>
      </w:pPr>
      <w:r>
        <w:rPr>
          <w:rFonts w:hint="eastAsia" w:hAnsi="宋体"/>
          <w:szCs w:val="21"/>
        </w:rPr>
        <w:t>会阴部瘢痕挛缩致肛门闭锁，结肠造口术后。</w:t>
      </w:r>
    </w:p>
    <w:bookmarkEnd w:id="81"/>
    <w:p>
      <w:pPr>
        <w:pStyle w:val="12"/>
        <w:spacing w:before="120" w:after="120"/>
        <w:ind w:left="210" w:right="210"/>
        <w:rPr>
          <w:rFonts w:hint="eastAsia"/>
        </w:rPr>
      </w:pPr>
      <w:bookmarkStart w:id="82" w:name="OLE_LINK68"/>
      <w:r>
        <w:rPr>
          <w:rFonts w:hint="eastAsia"/>
        </w:rPr>
        <w:t>脊柱、骨盆及四肢损伤</w:t>
      </w:r>
    </w:p>
    <w:p>
      <w:pPr>
        <w:pStyle w:val="13"/>
        <w:numPr>
          <w:ilvl w:val="1"/>
          <w:numId w:val="46"/>
        </w:numPr>
        <w:tabs>
          <w:tab w:val="left" w:pos="851"/>
          <w:tab w:val="left" w:pos="900"/>
        </w:tabs>
        <w:ind w:hanging="563"/>
        <w:rPr>
          <w:rFonts w:hint="eastAsia"/>
        </w:rPr>
      </w:pPr>
      <w:r>
        <w:t>双下肢长度相差8</w:t>
      </w:r>
      <w:r>
        <w:rPr>
          <w:rFonts w:hint="eastAsia"/>
        </w:rPr>
        <w:t>.0</w:t>
      </w:r>
      <w:r>
        <w:t>cm</w:t>
      </w:r>
      <w:r>
        <w:rPr>
          <w:rFonts w:hint="eastAsia"/>
        </w:rPr>
        <w:t>以上</w:t>
      </w:r>
      <w:r>
        <w:t>；</w:t>
      </w:r>
    </w:p>
    <w:p>
      <w:pPr>
        <w:pStyle w:val="13"/>
        <w:tabs>
          <w:tab w:val="left" w:pos="851"/>
          <w:tab w:val="left" w:pos="900"/>
        </w:tabs>
        <w:ind w:hanging="563"/>
        <w:rPr>
          <w:rFonts w:hint="eastAsia"/>
        </w:rPr>
      </w:pPr>
      <w:r>
        <w:rPr>
          <w:rFonts w:hint="eastAsia"/>
        </w:rPr>
        <w:t>一下肢踝关节以上缺失；</w:t>
      </w:r>
    </w:p>
    <w:p>
      <w:pPr>
        <w:pStyle w:val="13"/>
        <w:tabs>
          <w:tab w:val="left" w:pos="851"/>
          <w:tab w:val="left" w:pos="900"/>
        </w:tabs>
        <w:ind w:hanging="563"/>
        <w:rPr>
          <w:rFonts w:hint="eastAsia"/>
        </w:rPr>
      </w:pPr>
      <w:r>
        <w:rPr>
          <w:rFonts w:hint="eastAsia"/>
        </w:rPr>
        <w:t>四肢任</w:t>
      </w:r>
      <w:r>
        <w:t>一</w:t>
      </w:r>
      <w:r>
        <w:rPr>
          <w:rFonts w:hint="eastAsia"/>
        </w:rPr>
        <w:t>大关节（踝关节除外）强直固定于非功能位；</w:t>
      </w:r>
    </w:p>
    <w:p>
      <w:pPr>
        <w:pStyle w:val="13"/>
        <w:tabs>
          <w:tab w:val="left" w:pos="851"/>
          <w:tab w:val="left" w:pos="900"/>
        </w:tabs>
        <w:ind w:hanging="563"/>
        <w:rPr>
          <w:rFonts w:hint="eastAsia"/>
        </w:rPr>
      </w:pPr>
      <w:r>
        <w:rPr>
          <w:rFonts w:hint="eastAsia"/>
        </w:rPr>
        <w:t>四肢任二大关节（踝关节除外）功能丧失均达75%</w:t>
      </w:r>
      <w:r>
        <w:t>；</w:t>
      </w:r>
    </w:p>
    <w:p>
      <w:pPr>
        <w:pStyle w:val="13"/>
        <w:tabs>
          <w:tab w:val="left" w:pos="851"/>
          <w:tab w:val="left" w:pos="900"/>
        </w:tabs>
        <w:ind w:hanging="563"/>
        <w:rPr>
          <w:rFonts w:hint="eastAsia"/>
        </w:rPr>
      </w:pPr>
      <w:r>
        <w:rPr>
          <w:rFonts w:hint="eastAsia"/>
        </w:rPr>
        <w:t>一手除拇指外，余四指完全缺失；</w:t>
      </w:r>
    </w:p>
    <w:p>
      <w:pPr>
        <w:pStyle w:val="13"/>
        <w:tabs>
          <w:tab w:val="left" w:pos="851"/>
          <w:tab w:val="left" w:pos="900"/>
        </w:tabs>
        <w:ind w:hanging="563"/>
        <w:rPr>
          <w:rFonts w:hint="eastAsia"/>
        </w:rPr>
      </w:pPr>
      <w:r>
        <w:rPr>
          <w:rFonts w:hint="eastAsia"/>
        </w:rPr>
        <w:t>双足足弓结构完全破坏；</w:t>
      </w:r>
    </w:p>
    <w:p>
      <w:pPr>
        <w:pStyle w:val="13"/>
        <w:tabs>
          <w:tab w:val="left" w:pos="851"/>
          <w:tab w:val="left" w:pos="900"/>
        </w:tabs>
        <w:ind w:hanging="563"/>
        <w:rPr>
          <w:rFonts w:hint="eastAsia"/>
        </w:rPr>
      </w:pPr>
      <w:r>
        <w:rPr>
          <w:rFonts w:hint="eastAsia"/>
        </w:rPr>
        <w:t>手或者足功能丧失分值</w:t>
      </w:r>
      <w:r>
        <w:rPr>
          <w:rFonts w:hint="eastAsia" w:hAnsi="宋体"/>
        </w:rPr>
        <w:t>≥60</w:t>
      </w:r>
      <w:r>
        <w:rPr>
          <w:rFonts w:hint="eastAsia"/>
        </w:rPr>
        <w:t>分。</w:t>
      </w:r>
    </w:p>
    <w:bookmarkEnd w:id="82"/>
    <w:p>
      <w:pPr>
        <w:pStyle w:val="11"/>
        <w:spacing w:before="120" w:after="120"/>
        <w:ind w:left="210" w:right="210"/>
      </w:pPr>
      <w:bookmarkStart w:id="83" w:name="_Toc384919727"/>
      <w:bookmarkStart w:id="84" w:name="_Toc386380667"/>
      <w:r>
        <w:t>八级</w:t>
      </w:r>
      <w:bookmarkEnd w:id="83"/>
      <w:bookmarkEnd w:id="84"/>
    </w:p>
    <w:p>
      <w:pPr>
        <w:pStyle w:val="12"/>
        <w:spacing w:before="120" w:after="120"/>
        <w:ind w:left="210" w:right="210"/>
        <w:rPr>
          <w:rFonts w:hint="eastAsia"/>
        </w:rPr>
      </w:pPr>
      <w:bookmarkStart w:id="85" w:name="OLE_LINK69"/>
      <w:r>
        <w:rPr>
          <w:rFonts w:hint="eastAsia"/>
        </w:rPr>
        <w:t>颅脑、脊髓及周围神经损伤</w:t>
      </w:r>
    </w:p>
    <w:p>
      <w:pPr>
        <w:pStyle w:val="13"/>
        <w:numPr>
          <w:ilvl w:val="1"/>
          <w:numId w:val="47"/>
        </w:numPr>
        <w:tabs>
          <w:tab w:val="left" w:pos="900"/>
          <w:tab w:val="left" w:pos="1130"/>
        </w:tabs>
        <w:ind w:hanging="563"/>
        <w:rPr>
          <w:rFonts w:hAnsi="宋体"/>
        </w:rPr>
      </w:pPr>
      <w:r>
        <w:t>精神障碍或者轻度智能减退，日常生活有关的活动能力</w:t>
      </w:r>
      <w:r>
        <w:rPr>
          <w:rFonts w:hint="eastAsia"/>
        </w:rPr>
        <w:t>重度</w:t>
      </w:r>
      <w:r>
        <w:t>受限</w:t>
      </w:r>
      <w:r>
        <w:rPr>
          <w:rFonts w:hint="eastAsia"/>
        </w:rPr>
        <w:t>；</w:t>
      </w:r>
    </w:p>
    <w:p>
      <w:pPr>
        <w:pStyle w:val="13"/>
        <w:tabs>
          <w:tab w:val="left" w:pos="900"/>
        </w:tabs>
        <w:ind w:hanging="563"/>
        <w:rPr>
          <w:rFonts w:hint="eastAsia"/>
        </w:rPr>
      </w:pPr>
      <w:r>
        <w:rPr>
          <w:rFonts w:hint="eastAsia"/>
        </w:rPr>
        <w:t>不完全运动性失语；</w:t>
      </w:r>
      <w:r>
        <w:t>不完全性失用、失写、失读或者失认；</w:t>
      </w:r>
    </w:p>
    <w:p>
      <w:pPr>
        <w:pStyle w:val="13"/>
        <w:tabs>
          <w:tab w:val="left" w:pos="900"/>
        </w:tabs>
        <w:ind w:hanging="563"/>
        <w:rPr>
          <w:rFonts w:hint="eastAsia"/>
        </w:rPr>
      </w:pPr>
      <w:r>
        <w:t>尿崩症（中度）；</w:t>
      </w:r>
    </w:p>
    <w:p>
      <w:pPr>
        <w:pStyle w:val="13"/>
        <w:tabs>
          <w:tab w:val="left" w:pos="900"/>
        </w:tabs>
        <w:ind w:hanging="563"/>
        <w:rPr>
          <w:rFonts w:hint="eastAsia"/>
        </w:rPr>
      </w:pPr>
      <w:r>
        <w:rPr>
          <w:rFonts w:hint="eastAsia"/>
        </w:rPr>
        <w:t>一侧大部分面瘫，遗留眼睑闭合不全和口角歪斜；</w:t>
      </w:r>
    </w:p>
    <w:p>
      <w:pPr>
        <w:pStyle w:val="13"/>
        <w:tabs>
          <w:tab w:val="left" w:pos="900"/>
        </w:tabs>
        <w:ind w:hanging="563"/>
        <w:rPr>
          <w:rFonts w:hint="eastAsia"/>
        </w:rPr>
      </w:pPr>
      <w:r>
        <w:rPr>
          <w:rFonts w:hint="eastAsia"/>
        </w:rPr>
        <w:t>单肢</w:t>
      </w:r>
      <w:r>
        <w:t>瘫（肌力4级</w:t>
      </w:r>
      <w:r>
        <w:rPr>
          <w:rFonts w:hint="eastAsia"/>
        </w:rPr>
        <w:t>以下</w:t>
      </w:r>
      <w:r>
        <w:t>）；</w:t>
      </w:r>
    </w:p>
    <w:p>
      <w:pPr>
        <w:pStyle w:val="13"/>
        <w:tabs>
          <w:tab w:val="left" w:pos="900"/>
        </w:tabs>
        <w:ind w:hanging="563"/>
        <w:rPr>
          <w:rFonts w:hint="eastAsia"/>
        </w:rPr>
      </w:pPr>
      <w:r>
        <w:t>非肢体瘫运动障碍（轻度）；</w:t>
      </w:r>
    </w:p>
    <w:p>
      <w:pPr>
        <w:pStyle w:val="13"/>
        <w:tabs>
          <w:tab w:val="left" w:pos="900"/>
        </w:tabs>
        <w:ind w:hanging="563"/>
      </w:pPr>
      <w:r>
        <w:t>一手大部分肌瘫（肌力3级</w:t>
      </w:r>
      <w:r>
        <w:rPr>
          <w:rFonts w:hint="eastAsia"/>
        </w:rPr>
        <w:t>以下</w:t>
      </w:r>
      <w:r>
        <w:t>）</w:t>
      </w:r>
      <w:r>
        <w:rPr>
          <w:rFonts w:hint="eastAsia"/>
        </w:rPr>
        <w:t>；</w:t>
      </w:r>
    </w:p>
    <w:p>
      <w:pPr>
        <w:pStyle w:val="13"/>
        <w:tabs>
          <w:tab w:val="left" w:pos="900"/>
        </w:tabs>
        <w:ind w:hanging="563"/>
      </w:pPr>
      <w:r>
        <w:t>一足全肌瘫（肌力3级</w:t>
      </w:r>
      <w:r>
        <w:rPr>
          <w:rFonts w:hint="eastAsia"/>
        </w:rPr>
        <w:t>以下</w:t>
      </w:r>
      <w:r>
        <w:t>）；</w:t>
      </w:r>
    </w:p>
    <w:p>
      <w:pPr>
        <w:pStyle w:val="13"/>
        <w:tabs>
          <w:tab w:val="left" w:pos="900"/>
        </w:tabs>
        <w:ind w:hanging="563"/>
        <w:rPr>
          <w:rFonts w:hint="eastAsia"/>
          <w:u w:val="single"/>
        </w:rPr>
      </w:pPr>
      <w:r>
        <w:t>阴茎器质性勃起障碍（轻度）</w:t>
      </w:r>
      <w:r>
        <w:rPr>
          <w:rFonts w:hint="eastAsia"/>
        </w:rPr>
        <w:t>。</w:t>
      </w:r>
    </w:p>
    <w:p>
      <w:pPr>
        <w:pStyle w:val="12"/>
        <w:spacing w:before="120" w:after="120"/>
        <w:ind w:left="210" w:right="210"/>
        <w:rPr>
          <w:rFonts w:hint="eastAsia"/>
        </w:rPr>
      </w:pPr>
      <w:r>
        <w:rPr>
          <w:rFonts w:hint="eastAsia"/>
        </w:rPr>
        <w:t>头面部损伤</w:t>
      </w:r>
    </w:p>
    <w:p>
      <w:pPr>
        <w:pStyle w:val="13"/>
        <w:numPr>
          <w:ilvl w:val="1"/>
          <w:numId w:val="48"/>
        </w:numPr>
        <w:tabs>
          <w:tab w:val="left" w:pos="900"/>
        </w:tabs>
        <w:ind w:hanging="590"/>
      </w:pPr>
      <w:r>
        <w:t>容貌毁损（中度）；</w:t>
      </w:r>
    </w:p>
    <w:p>
      <w:pPr>
        <w:pStyle w:val="13"/>
        <w:tabs>
          <w:tab w:val="left" w:pos="900"/>
        </w:tabs>
        <w:ind w:hanging="590"/>
        <w:rPr>
          <w:rFonts w:hint="eastAsia"/>
        </w:rPr>
      </w:pPr>
      <w:r>
        <w:t>符合容貌毁损</w:t>
      </w:r>
      <w:r>
        <w:rPr>
          <w:rFonts w:hint="eastAsia"/>
        </w:rPr>
        <w:t>（重度）</w:t>
      </w:r>
      <w:r>
        <w:t>标准之一项者</w:t>
      </w:r>
      <w:r>
        <w:rPr>
          <w:rFonts w:hint="eastAsia"/>
        </w:rPr>
        <w:t>；</w:t>
      </w:r>
    </w:p>
    <w:p>
      <w:pPr>
        <w:pStyle w:val="13"/>
        <w:tabs>
          <w:tab w:val="left" w:pos="900"/>
        </w:tabs>
        <w:ind w:left="900" w:hanging="360"/>
        <w:rPr>
          <w:rFonts w:hint="eastAsia"/>
        </w:rPr>
      </w:pPr>
      <w:r>
        <w:rPr>
          <w:rFonts w:hint="eastAsia"/>
        </w:rPr>
        <w:t>头皮完全缺损，难以修复；</w:t>
      </w:r>
    </w:p>
    <w:bookmarkEnd w:id="85"/>
    <w:p>
      <w:pPr>
        <w:pStyle w:val="13"/>
        <w:tabs>
          <w:tab w:val="left" w:pos="900"/>
        </w:tabs>
        <w:ind w:left="900" w:hanging="360"/>
        <w:rPr>
          <w:rFonts w:hint="eastAsia"/>
        </w:rPr>
      </w:pPr>
      <w:bookmarkStart w:id="86" w:name="OLE_LINK70"/>
      <w:bookmarkStart w:id="87" w:name="OLE_LINK71"/>
      <w:r>
        <w:t>面部</w:t>
      </w:r>
      <w:r>
        <w:rPr>
          <w:rFonts w:hint="eastAsia"/>
        </w:rPr>
        <w:t>条状</w:t>
      </w:r>
      <w:r>
        <w:t>瘢痕</w:t>
      </w:r>
      <w:r>
        <w:rPr>
          <w:rFonts w:hint="eastAsia"/>
        </w:rPr>
        <w:t>形成，</w:t>
      </w:r>
      <w:r>
        <w:t>累计长</w:t>
      </w:r>
      <w:r>
        <w:rPr>
          <w:rFonts w:hint="eastAsia"/>
        </w:rPr>
        <w:t>度达</w:t>
      </w:r>
      <w:r>
        <w:t>30</w:t>
      </w:r>
      <w:r>
        <w:rPr>
          <w:rFonts w:hint="eastAsia"/>
        </w:rPr>
        <w:t>.0</w:t>
      </w:r>
      <w:r>
        <w:t>cm</w:t>
      </w:r>
      <w:r>
        <w:rPr>
          <w:rFonts w:hint="eastAsia"/>
        </w:rPr>
        <w:t>；</w:t>
      </w:r>
      <w:r>
        <w:t>面部</w:t>
      </w:r>
      <w:r>
        <w:rPr>
          <w:rFonts w:hint="eastAsia"/>
        </w:rPr>
        <w:t>中心区</w:t>
      </w:r>
      <w:r>
        <w:t>条状</w:t>
      </w:r>
      <w:r>
        <w:rPr>
          <w:rFonts w:hint="eastAsia"/>
        </w:rPr>
        <w:t>瘢痕形成</w:t>
      </w:r>
      <w:r>
        <w:t>（宽度</w:t>
      </w:r>
      <w:r>
        <w:rPr>
          <w:rFonts w:hint="eastAsia"/>
        </w:rPr>
        <w:t>达</w:t>
      </w:r>
      <w:r>
        <w:t>0.2cm）</w:t>
      </w:r>
      <w:r>
        <w:rPr>
          <w:rFonts w:hint="eastAsia"/>
        </w:rPr>
        <w:t>，</w:t>
      </w:r>
      <w:r>
        <w:t>累计长度</w:t>
      </w:r>
      <w:r>
        <w:rPr>
          <w:rFonts w:hint="eastAsia"/>
        </w:rPr>
        <w:t>达</w:t>
      </w:r>
      <w:r>
        <w:t>15</w:t>
      </w:r>
      <w:r>
        <w:rPr>
          <w:rFonts w:hint="eastAsia"/>
        </w:rPr>
        <w:t>.0</w:t>
      </w:r>
      <w:r>
        <w:t>cm；</w:t>
      </w:r>
    </w:p>
    <w:p>
      <w:pPr>
        <w:pStyle w:val="13"/>
        <w:tabs>
          <w:tab w:val="left" w:pos="900"/>
        </w:tabs>
        <w:ind w:left="900" w:hanging="360"/>
        <w:rPr>
          <w:rFonts w:hint="eastAsia"/>
        </w:rPr>
      </w:pPr>
      <w:r>
        <w:t>面部块状增生</w:t>
      </w:r>
      <w:r>
        <w:rPr>
          <w:rFonts w:hint="eastAsia"/>
        </w:rPr>
        <w:t>性</w:t>
      </w:r>
      <w:r>
        <w:t>瘢痕</w:t>
      </w:r>
      <w:r>
        <w:rPr>
          <w:rFonts w:hint="eastAsia"/>
        </w:rPr>
        <w:t>形成</w:t>
      </w:r>
      <w:r>
        <w:t>，累计面积</w:t>
      </w:r>
      <w:r>
        <w:rPr>
          <w:rFonts w:hint="eastAsia"/>
        </w:rPr>
        <w:t>达</w:t>
      </w:r>
      <w:r>
        <w:t>15</w:t>
      </w:r>
      <w:r>
        <w:rPr>
          <w:rFonts w:hint="eastAsia"/>
        </w:rPr>
        <w:t>.0</w:t>
      </w:r>
      <w:r>
        <w:t>cm</w:t>
      </w:r>
      <w:r>
        <w:rPr>
          <w:vertAlign w:val="superscript"/>
        </w:rPr>
        <w:t>2</w:t>
      </w:r>
      <w:r>
        <w:t>；面部</w:t>
      </w:r>
      <w:r>
        <w:rPr>
          <w:rFonts w:hint="eastAsia"/>
        </w:rPr>
        <w:t>中心区</w:t>
      </w:r>
      <w:r>
        <w:t>块状增生</w:t>
      </w:r>
      <w:r>
        <w:rPr>
          <w:rFonts w:hint="eastAsia"/>
        </w:rPr>
        <w:t>性</w:t>
      </w:r>
      <w:r>
        <w:t>瘢痕</w:t>
      </w:r>
      <w:r>
        <w:rPr>
          <w:rFonts w:hint="eastAsia"/>
        </w:rPr>
        <w:t>形成</w:t>
      </w:r>
      <w:r>
        <w:t>，单块面积</w:t>
      </w:r>
      <w:r>
        <w:rPr>
          <w:rFonts w:hint="eastAsia"/>
        </w:rPr>
        <w:t>达7.0</w:t>
      </w:r>
      <w:r>
        <w:t>cm</w:t>
      </w:r>
      <w:r>
        <w:rPr>
          <w:vertAlign w:val="superscript"/>
        </w:rPr>
        <w:t>2</w:t>
      </w:r>
      <w:r>
        <w:rPr>
          <w:rFonts w:hint="eastAsia"/>
        </w:rPr>
        <w:t>或者多块</w:t>
      </w:r>
      <w:r>
        <w:t>累计</w:t>
      </w:r>
      <w:r>
        <w:rPr>
          <w:rFonts w:hint="eastAsia"/>
        </w:rPr>
        <w:t>面积达</w:t>
      </w:r>
      <w:r>
        <w:t>9</w:t>
      </w:r>
      <w:r>
        <w:rPr>
          <w:rFonts w:hint="eastAsia"/>
        </w:rPr>
        <w:t>.0</w:t>
      </w:r>
      <w:r>
        <w:t>cm</w:t>
      </w:r>
      <w:r>
        <w:rPr>
          <w:vertAlign w:val="superscript"/>
        </w:rPr>
        <w:t>2</w:t>
      </w:r>
      <w:r>
        <w:t>；</w:t>
      </w:r>
    </w:p>
    <w:p>
      <w:pPr>
        <w:pStyle w:val="13"/>
        <w:tabs>
          <w:tab w:val="left" w:pos="900"/>
        </w:tabs>
        <w:ind w:hanging="590"/>
      </w:pPr>
      <w:r>
        <w:t>面部片状细小瘢痕</w:t>
      </w:r>
      <w:r>
        <w:rPr>
          <w:rFonts w:hint="eastAsia"/>
        </w:rPr>
        <w:t>形成或者</w:t>
      </w:r>
      <w:r>
        <w:t>色素</w:t>
      </w:r>
      <w:r>
        <w:rPr>
          <w:rFonts w:hint="eastAsia"/>
        </w:rPr>
        <w:t>异常</w:t>
      </w:r>
      <w:r>
        <w:t>，累计</w:t>
      </w:r>
      <w:r>
        <w:rPr>
          <w:rFonts w:hint="eastAsia"/>
        </w:rPr>
        <w:t>面积</w:t>
      </w:r>
      <w:r>
        <w:t>达100</w:t>
      </w:r>
      <w:r>
        <w:rPr>
          <w:rFonts w:hint="eastAsia"/>
        </w:rPr>
        <w:t>.0</w:t>
      </w:r>
      <w:r>
        <w:t>cm</w:t>
      </w:r>
      <w:r>
        <w:rPr>
          <w:vertAlign w:val="superscript"/>
        </w:rPr>
        <w:t>2</w:t>
      </w:r>
      <w:r>
        <w:t>；</w:t>
      </w:r>
    </w:p>
    <w:p>
      <w:pPr>
        <w:pStyle w:val="13"/>
        <w:tabs>
          <w:tab w:val="left" w:pos="900"/>
        </w:tabs>
        <w:ind w:hanging="590"/>
      </w:pPr>
      <w:r>
        <w:t>一眼盲目</w:t>
      </w:r>
      <w:r>
        <w:rPr>
          <w:rFonts w:hint="eastAsia"/>
        </w:rPr>
        <w:t>4</w:t>
      </w:r>
      <w:r>
        <w:t>级；</w:t>
      </w:r>
    </w:p>
    <w:p>
      <w:pPr>
        <w:pStyle w:val="13"/>
        <w:tabs>
          <w:tab w:val="left" w:pos="900"/>
        </w:tabs>
        <w:ind w:hanging="590"/>
      </w:pPr>
      <w:r>
        <w:t>一眼视野</w:t>
      </w:r>
      <w:r>
        <w:rPr>
          <w:rFonts w:hint="eastAsia"/>
        </w:rPr>
        <w:t>接近完全</w:t>
      </w:r>
      <w:r>
        <w:t>缺损，视野有效值</w:t>
      </w:r>
      <w:r>
        <w:rPr>
          <w:rFonts w:hint="eastAsia" w:hAnsi="宋体"/>
        </w:rPr>
        <w:t>≤</w:t>
      </w:r>
      <w:r>
        <w:rPr>
          <w:rFonts w:hint="eastAsia"/>
        </w:rPr>
        <w:t>4</w:t>
      </w:r>
      <w:r>
        <w:t>%（直径</w:t>
      </w:r>
      <w:r>
        <w:rPr>
          <w:rFonts w:hint="eastAsia" w:hAnsi="宋体"/>
        </w:rPr>
        <w:t>≤</w:t>
      </w:r>
      <w:r>
        <w:rPr>
          <w:rFonts w:hint="eastAsia"/>
        </w:rPr>
        <w:t>5</w:t>
      </w:r>
      <w:r>
        <w:t>°）；</w:t>
      </w:r>
    </w:p>
    <w:p>
      <w:pPr>
        <w:pStyle w:val="13"/>
        <w:tabs>
          <w:tab w:val="left" w:pos="900"/>
        </w:tabs>
        <w:ind w:hanging="590"/>
        <w:rPr>
          <w:rFonts w:hint="eastAsia"/>
        </w:rPr>
      </w:pPr>
      <w:r>
        <w:rPr>
          <w:rFonts w:hint="eastAsia"/>
        </w:rPr>
        <w:t>双眼外伤性青光眼，经手术治疗；</w:t>
      </w:r>
    </w:p>
    <w:p>
      <w:pPr>
        <w:pStyle w:val="13"/>
        <w:tabs>
          <w:tab w:val="left" w:pos="900"/>
        </w:tabs>
        <w:ind w:hanging="590"/>
        <w:rPr>
          <w:rFonts w:hint="eastAsia"/>
        </w:rPr>
      </w:pPr>
      <w:r>
        <w:rPr>
          <w:rFonts w:hint="eastAsia"/>
        </w:rPr>
        <w:t>一侧眼睑严重畸形（或者</w:t>
      </w:r>
      <w:r>
        <w:t>眼睑重度下垂，遮盖全部瞳孔</w:t>
      </w:r>
      <w:r>
        <w:rPr>
          <w:rFonts w:hint="eastAsia"/>
        </w:rPr>
        <w:t>）合并该眼重度视力损害；</w:t>
      </w:r>
    </w:p>
    <w:p>
      <w:pPr>
        <w:pStyle w:val="13"/>
        <w:tabs>
          <w:tab w:val="left" w:pos="900"/>
        </w:tabs>
        <w:ind w:hanging="590"/>
        <w:rPr>
          <w:rFonts w:hint="eastAsia"/>
        </w:rPr>
      </w:pPr>
      <w:r>
        <w:t>一耳听力障碍</w:t>
      </w:r>
      <w:r>
        <w:rPr>
          <w:rFonts w:hint="eastAsia" w:hAnsi="宋体"/>
        </w:rPr>
        <w:t>≥</w:t>
      </w:r>
      <w:r>
        <w:rPr>
          <w:rFonts w:hint="eastAsia"/>
        </w:rPr>
        <w:t>9</w:t>
      </w:r>
      <w:r>
        <w:t>1dB HL</w:t>
      </w:r>
      <w:r>
        <w:rPr>
          <w:rFonts w:hint="eastAsia"/>
        </w:rPr>
        <w:t>；</w:t>
      </w:r>
    </w:p>
    <w:p>
      <w:pPr>
        <w:pStyle w:val="13"/>
        <w:tabs>
          <w:tab w:val="left" w:pos="900"/>
        </w:tabs>
        <w:ind w:hanging="590"/>
        <w:rPr>
          <w:rFonts w:hint="eastAsia"/>
        </w:rPr>
      </w:pPr>
      <w:r>
        <w:rPr>
          <w:rFonts w:hint="eastAsia"/>
        </w:rPr>
        <w:t>双耳</w:t>
      </w:r>
      <w:r>
        <w:t>听力障碍</w:t>
      </w:r>
      <w:r>
        <w:rPr>
          <w:rFonts w:hint="eastAsia"/>
        </w:rPr>
        <w:t>≥6</w:t>
      </w:r>
      <w:r>
        <w:t>1dB HL；</w:t>
      </w:r>
    </w:p>
    <w:bookmarkEnd w:id="86"/>
    <w:p>
      <w:pPr>
        <w:pStyle w:val="13"/>
        <w:tabs>
          <w:tab w:val="left" w:pos="900"/>
        </w:tabs>
        <w:ind w:hanging="590"/>
        <w:rPr>
          <w:rFonts w:hint="eastAsia"/>
        </w:rPr>
      </w:pPr>
      <w:r>
        <w:t>双侧鼻翼大部分缺损，或者鼻尖大部分缺损</w:t>
      </w:r>
      <w:r>
        <w:rPr>
          <w:rFonts w:hint="eastAsia"/>
        </w:rPr>
        <w:t>合</w:t>
      </w:r>
      <w:r>
        <w:t>并</w:t>
      </w:r>
      <w:r>
        <w:rPr>
          <w:rFonts w:hint="eastAsia"/>
        </w:rPr>
        <w:t>一侧</w:t>
      </w:r>
      <w:r>
        <w:t>鼻翼大部分缺损；</w:t>
      </w:r>
    </w:p>
    <w:p>
      <w:pPr>
        <w:pStyle w:val="13"/>
        <w:tabs>
          <w:tab w:val="left" w:pos="900"/>
        </w:tabs>
        <w:ind w:hanging="590"/>
        <w:rPr>
          <w:rFonts w:hint="eastAsia"/>
        </w:rPr>
      </w:pPr>
      <w:r>
        <w:t>舌体缺损达舌系带；</w:t>
      </w:r>
    </w:p>
    <w:p>
      <w:pPr>
        <w:pStyle w:val="13"/>
        <w:tabs>
          <w:tab w:val="left" w:pos="900"/>
        </w:tabs>
        <w:ind w:hanging="590"/>
        <w:rPr>
          <w:rFonts w:hint="eastAsia"/>
        </w:rPr>
      </w:pPr>
      <w:r>
        <w:t>唇缺损或者畸形</w:t>
      </w:r>
      <w:r>
        <w:rPr>
          <w:rFonts w:hint="eastAsia"/>
        </w:rPr>
        <w:t>，</w:t>
      </w:r>
      <w:r>
        <w:t>累计相当于上唇1/2以上；</w:t>
      </w:r>
    </w:p>
    <w:p>
      <w:pPr>
        <w:pStyle w:val="13"/>
        <w:tabs>
          <w:tab w:val="left" w:pos="900"/>
        </w:tabs>
        <w:ind w:hanging="590"/>
      </w:pPr>
      <w:r>
        <w:t>脑脊液漏经手术治疗后</w:t>
      </w:r>
      <w:r>
        <w:rPr>
          <w:rFonts w:hint="eastAsia"/>
        </w:rPr>
        <w:t>持续不</w:t>
      </w:r>
      <w:r>
        <w:t>愈；</w:t>
      </w:r>
    </w:p>
    <w:bookmarkEnd w:id="87"/>
    <w:p>
      <w:pPr>
        <w:pStyle w:val="13"/>
        <w:tabs>
          <w:tab w:val="left" w:pos="900"/>
        </w:tabs>
        <w:ind w:hanging="590"/>
      </w:pPr>
      <w:bookmarkStart w:id="88" w:name="OLE_LINK72"/>
      <w:r>
        <w:t>张口</w:t>
      </w:r>
      <w:r>
        <w:rPr>
          <w:rFonts w:hint="eastAsia"/>
        </w:rPr>
        <w:t>受限</w:t>
      </w:r>
      <w:r>
        <w:rPr>
          <w:rFonts w:hint="eastAsia" w:hAnsi="宋体" w:cs="宋体"/>
        </w:rPr>
        <w:t>Ⅲ</w:t>
      </w:r>
      <w:r>
        <w:t>度；</w:t>
      </w:r>
    </w:p>
    <w:p>
      <w:pPr>
        <w:pStyle w:val="13"/>
        <w:tabs>
          <w:tab w:val="left" w:pos="900"/>
        </w:tabs>
        <w:ind w:hanging="590"/>
        <w:rPr>
          <w:rFonts w:hint="eastAsia"/>
        </w:rPr>
      </w:pPr>
      <w:r>
        <w:t>发声功能或者构音功能障碍（重度）；</w:t>
      </w:r>
    </w:p>
    <w:p>
      <w:pPr>
        <w:pStyle w:val="13"/>
        <w:tabs>
          <w:tab w:val="left" w:pos="900"/>
        </w:tabs>
        <w:ind w:hanging="590"/>
      </w:pPr>
      <w:r>
        <w:t>咽成形术后咽下运动</w:t>
      </w:r>
      <w:r>
        <w:rPr>
          <w:rFonts w:hint="eastAsia"/>
        </w:rPr>
        <w:t>异常。</w:t>
      </w:r>
    </w:p>
    <w:bookmarkEnd w:id="88"/>
    <w:p>
      <w:pPr>
        <w:pStyle w:val="12"/>
        <w:spacing w:before="120" w:after="120"/>
        <w:ind w:left="210" w:right="210"/>
        <w:rPr>
          <w:rFonts w:hint="eastAsia"/>
        </w:rPr>
      </w:pPr>
      <w:bookmarkStart w:id="89" w:name="OLE_LINK73"/>
      <w:r>
        <w:rPr>
          <w:rFonts w:hint="eastAsia"/>
        </w:rPr>
        <w:t>颈部及胸部损伤</w:t>
      </w:r>
    </w:p>
    <w:p>
      <w:pPr>
        <w:pStyle w:val="13"/>
        <w:numPr>
          <w:ilvl w:val="1"/>
          <w:numId w:val="49"/>
        </w:numPr>
        <w:tabs>
          <w:tab w:val="left" w:pos="900"/>
          <w:tab w:val="left" w:pos="1130"/>
        </w:tabs>
        <w:ind w:hanging="590"/>
        <w:rPr>
          <w:rFonts w:hint="eastAsia"/>
        </w:rPr>
      </w:pPr>
      <w:r>
        <w:rPr>
          <w:rFonts w:hint="eastAsia"/>
        </w:rPr>
        <w:t>甲状腺功能损害（中度）；</w:t>
      </w:r>
    </w:p>
    <w:p>
      <w:pPr>
        <w:pStyle w:val="13"/>
        <w:tabs>
          <w:tab w:val="left" w:pos="900"/>
        </w:tabs>
        <w:ind w:hanging="590"/>
        <w:rPr>
          <w:rFonts w:hint="eastAsia"/>
        </w:rPr>
      </w:pPr>
      <w:r>
        <w:rPr>
          <w:rFonts w:hint="eastAsia"/>
        </w:rPr>
        <w:t>颈总动脉或者颈内动脉严重狭窄支架置入或者血管移植术后</w:t>
      </w:r>
      <w:r>
        <w:t>；</w:t>
      </w:r>
    </w:p>
    <w:bookmarkEnd w:id="89"/>
    <w:p>
      <w:pPr>
        <w:pStyle w:val="13"/>
        <w:tabs>
          <w:tab w:val="left" w:pos="900"/>
        </w:tabs>
        <w:ind w:hanging="590"/>
      </w:pPr>
      <w:bookmarkStart w:id="90" w:name="OLE_LINK74"/>
      <w:r>
        <w:t>食管</w:t>
      </w:r>
      <w:r>
        <w:rPr>
          <w:rFonts w:hint="eastAsia"/>
        </w:rPr>
        <w:t>部分切除</w:t>
      </w:r>
      <w:r>
        <w:t>术后</w:t>
      </w:r>
      <w:r>
        <w:rPr>
          <w:rFonts w:hint="eastAsia"/>
        </w:rPr>
        <w:t>，并后遗胸腔胃</w:t>
      </w:r>
      <w:r>
        <w:t>；</w:t>
      </w:r>
    </w:p>
    <w:p>
      <w:pPr>
        <w:pStyle w:val="13"/>
        <w:tabs>
          <w:tab w:val="left" w:pos="900"/>
        </w:tabs>
        <w:ind w:left="900" w:hanging="360"/>
        <w:rPr>
          <w:rFonts w:hint="eastAsia"/>
        </w:rPr>
      </w:pPr>
      <w:r>
        <w:t>女性一侧乳房</w:t>
      </w:r>
      <w:r>
        <w:rPr>
          <w:rFonts w:hint="eastAsia"/>
        </w:rPr>
        <w:t>完全缺失；女性</w:t>
      </w:r>
      <w:r>
        <w:t>双侧乳房缺</w:t>
      </w:r>
      <w:r>
        <w:rPr>
          <w:rFonts w:hint="eastAsia"/>
        </w:rPr>
        <w:t>失或者</w:t>
      </w:r>
      <w:r>
        <w:t>毁损，</w:t>
      </w:r>
      <w:r>
        <w:rPr>
          <w:rFonts w:hint="eastAsia"/>
        </w:rPr>
        <w:t>累计</w:t>
      </w:r>
      <w:r>
        <w:t>范围相当于一侧乳房3/4</w:t>
      </w:r>
      <w:r>
        <w:rPr>
          <w:rFonts w:hint="eastAsia"/>
        </w:rPr>
        <w:t>以上；</w:t>
      </w:r>
    </w:p>
    <w:p>
      <w:pPr>
        <w:pStyle w:val="13"/>
        <w:tabs>
          <w:tab w:val="left" w:pos="900"/>
        </w:tabs>
        <w:ind w:hanging="590"/>
      </w:pPr>
      <w:r>
        <w:rPr>
          <w:rFonts w:hint="eastAsia"/>
        </w:rPr>
        <w:t>女性双侧乳头</w:t>
      </w:r>
      <w:r>
        <w:t>完全缺失；</w:t>
      </w:r>
    </w:p>
    <w:p>
      <w:pPr>
        <w:pStyle w:val="13"/>
        <w:tabs>
          <w:tab w:val="left" w:pos="900"/>
        </w:tabs>
        <w:ind w:hanging="590"/>
      </w:pPr>
      <w:r>
        <w:rPr>
          <w:rFonts w:hint="eastAsia"/>
        </w:rPr>
        <w:t>肋骨骨折12根以上并后遗6处畸形愈合；</w:t>
      </w:r>
    </w:p>
    <w:p>
      <w:pPr>
        <w:pStyle w:val="13"/>
        <w:tabs>
          <w:tab w:val="left" w:pos="900"/>
        </w:tabs>
        <w:ind w:hanging="590"/>
      </w:pPr>
      <w:r>
        <w:t>心脏或者大血管修补术后</w:t>
      </w:r>
      <w:r>
        <w:rPr>
          <w:rFonts w:hint="eastAsia"/>
        </w:rPr>
        <w:t>；</w:t>
      </w:r>
    </w:p>
    <w:p>
      <w:pPr>
        <w:pStyle w:val="13"/>
        <w:tabs>
          <w:tab w:val="left" w:pos="900"/>
        </w:tabs>
        <w:ind w:hanging="590"/>
        <w:rPr>
          <w:rFonts w:hint="eastAsia"/>
        </w:rPr>
      </w:pPr>
      <w:r>
        <w:t>一肺叶切除</w:t>
      </w:r>
      <w:r>
        <w:rPr>
          <w:rFonts w:hint="eastAsia"/>
        </w:rPr>
        <w:t>术后</w:t>
      </w:r>
      <w:r>
        <w:t>；</w:t>
      </w:r>
    </w:p>
    <w:p>
      <w:pPr>
        <w:pStyle w:val="13"/>
        <w:tabs>
          <w:tab w:val="left" w:pos="900"/>
        </w:tabs>
        <w:ind w:hanging="590"/>
        <w:rPr>
          <w:rFonts w:hint="eastAsia"/>
        </w:rPr>
      </w:pPr>
      <w:r>
        <w:t>胸廓成形术后</w:t>
      </w:r>
      <w:r>
        <w:rPr>
          <w:rFonts w:hint="eastAsia"/>
        </w:rPr>
        <w:t>，影响呼吸功能</w:t>
      </w:r>
      <w:r>
        <w:t>；</w:t>
      </w:r>
    </w:p>
    <w:p>
      <w:pPr>
        <w:pStyle w:val="13"/>
        <w:tabs>
          <w:tab w:val="left" w:pos="900"/>
        </w:tabs>
        <w:ind w:hanging="590"/>
      </w:pPr>
      <w:r>
        <w:t>呼吸困难（中度）</w:t>
      </w:r>
      <w:r>
        <w:rPr>
          <w:rFonts w:hint="eastAsia"/>
        </w:rPr>
        <w:t>。</w:t>
      </w:r>
    </w:p>
    <w:bookmarkEnd w:id="90"/>
    <w:p>
      <w:pPr>
        <w:pStyle w:val="12"/>
        <w:spacing w:before="120" w:after="120"/>
        <w:ind w:left="210" w:right="210"/>
        <w:rPr>
          <w:rFonts w:hint="eastAsia"/>
        </w:rPr>
      </w:pPr>
      <w:bookmarkStart w:id="91" w:name="OLE_LINK75"/>
      <w:r>
        <w:rPr>
          <w:rFonts w:hint="eastAsia"/>
        </w:rPr>
        <w:t>腹部损伤</w:t>
      </w:r>
    </w:p>
    <w:p>
      <w:pPr>
        <w:pStyle w:val="13"/>
        <w:numPr>
          <w:ilvl w:val="1"/>
          <w:numId w:val="50"/>
        </w:numPr>
        <w:tabs>
          <w:tab w:val="left" w:pos="900"/>
        </w:tabs>
        <w:ind w:hanging="590"/>
        <w:rPr>
          <w:rFonts w:hint="eastAsia"/>
        </w:rPr>
      </w:pPr>
      <w:r>
        <w:t>腹壁缺损</w:t>
      </w:r>
      <w:r>
        <w:rPr>
          <w:rFonts w:hint="eastAsia" w:hAnsi="宋体"/>
        </w:rPr>
        <w:t>≥</w:t>
      </w:r>
      <w:r>
        <w:t>腹壁的1/4</w:t>
      </w:r>
      <w:r>
        <w:rPr>
          <w:rFonts w:hint="eastAsia"/>
        </w:rPr>
        <w:t>；</w:t>
      </w:r>
    </w:p>
    <w:p>
      <w:pPr>
        <w:pStyle w:val="13"/>
        <w:tabs>
          <w:tab w:val="left" w:pos="900"/>
        </w:tabs>
        <w:ind w:hanging="590"/>
      </w:pPr>
      <w:r>
        <w:t>成年人脾切除术后；</w:t>
      </w:r>
    </w:p>
    <w:p>
      <w:pPr>
        <w:pStyle w:val="13"/>
        <w:tabs>
          <w:tab w:val="left" w:pos="900"/>
        </w:tabs>
        <w:ind w:hanging="590"/>
      </w:pPr>
      <w:r>
        <w:t>胰腺部分切除术后；</w:t>
      </w:r>
    </w:p>
    <w:p>
      <w:pPr>
        <w:pStyle w:val="13"/>
        <w:tabs>
          <w:tab w:val="left" w:pos="900"/>
        </w:tabs>
        <w:ind w:hanging="590"/>
        <w:rPr>
          <w:rFonts w:hint="eastAsia"/>
        </w:rPr>
      </w:pPr>
      <w:r>
        <w:t>胃大部分切除术后；</w:t>
      </w:r>
    </w:p>
    <w:p>
      <w:pPr>
        <w:pStyle w:val="13"/>
        <w:tabs>
          <w:tab w:val="left" w:pos="900"/>
        </w:tabs>
        <w:ind w:hanging="590"/>
        <w:rPr>
          <w:rFonts w:hint="eastAsia"/>
        </w:rPr>
      </w:pPr>
      <w:r>
        <w:t>肠部分切除术后，影响消化吸收功能</w:t>
      </w:r>
      <w:r>
        <w:rPr>
          <w:rFonts w:hint="eastAsia"/>
        </w:rPr>
        <w:t>；</w:t>
      </w:r>
    </w:p>
    <w:p>
      <w:pPr>
        <w:pStyle w:val="13"/>
        <w:tabs>
          <w:tab w:val="left" w:pos="900"/>
        </w:tabs>
        <w:ind w:hanging="590"/>
      </w:pPr>
      <w:r>
        <w:t>胆道损伤，胆肠吻合术后；</w:t>
      </w:r>
    </w:p>
    <w:p>
      <w:pPr>
        <w:pStyle w:val="13"/>
        <w:tabs>
          <w:tab w:val="left" w:pos="900"/>
        </w:tabs>
        <w:ind w:hanging="590"/>
        <w:rPr>
          <w:rFonts w:hint="eastAsia"/>
        </w:rPr>
      </w:pPr>
      <w:r>
        <w:t>损伤致肾性高血压；</w:t>
      </w:r>
    </w:p>
    <w:p>
      <w:pPr>
        <w:pStyle w:val="13"/>
        <w:tabs>
          <w:tab w:val="left" w:pos="900"/>
        </w:tabs>
        <w:ind w:hanging="590"/>
        <w:rPr>
          <w:rFonts w:hint="eastAsia"/>
        </w:rPr>
      </w:pPr>
      <w:r>
        <w:rPr>
          <w:rFonts w:hint="eastAsia"/>
        </w:rPr>
        <w:t>肾功能轻度下降；</w:t>
      </w:r>
    </w:p>
    <w:p>
      <w:pPr>
        <w:pStyle w:val="13"/>
        <w:tabs>
          <w:tab w:val="left" w:pos="900"/>
        </w:tabs>
        <w:ind w:hanging="590"/>
      </w:pPr>
      <w:r>
        <w:t>一侧肾上腺缺失；</w:t>
      </w:r>
    </w:p>
    <w:p>
      <w:pPr>
        <w:pStyle w:val="13"/>
        <w:tabs>
          <w:tab w:val="left" w:pos="900"/>
        </w:tabs>
        <w:ind w:hanging="590"/>
      </w:pPr>
      <w:r>
        <w:t>肾上腺皮质功能轻度减退</w:t>
      </w:r>
      <w:r>
        <w:rPr>
          <w:rFonts w:hint="eastAsia"/>
        </w:rPr>
        <w:t>。</w:t>
      </w:r>
    </w:p>
    <w:p>
      <w:pPr>
        <w:pStyle w:val="12"/>
        <w:spacing w:before="120" w:after="120"/>
        <w:ind w:left="210" w:right="210"/>
        <w:rPr>
          <w:rFonts w:hint="eastAsia"/>
        </w:rPr>
      </w:pPr>
      <w:r>
        <w:rPr>
          <w:rFonts w:hint="eastAsia"/>
        </w:rPr>
        <w:t>盆部及会阴部损伤</w:t>
      </w:r>
    </w:p>
    <w:p>
      <w:pPr>
        <w:pStyle w:val="13"/>
        <w:numPr>
          <w:ilvl w:val="1"/>
          <w:numId w:val="51"/>
        </w:numPr>
        <w:tabs>
          <w:tab w:val="left" w:pos="900"/>
          <w:tab w:val="left" w:pos="1130"/>
        </w:tabs>
        <w:ind w:hanging="590"/>
      </w:pPr>
      <w:r>
        <w:t>输尿管损伤行代替术或者改道术后；</w:t>
      </w:r>
    </w:p>
    <w:bookmarkEnd w:id="91"/>
    <w:p>
      <w:pPr>
        <w:pStyle w:val="13"/>
        <w:tabs>
          <w:tab w:val="left" w:pos="900"/>
        </w:tabs>
        <w:ind w:hanging="590"/>
      </w:pPr>
      <w:bookmarkStart w:id="92" w:name="OLE_LINK76"/>
      <w:r>
        <w:t>膀胱大部分切除术后；</w:t>
      </w:r>
    </w:p>
    <w:bookmarkEnd w:id="92"/>
    <w:p>
      <w:pPr>
        <w:pStyle w:val="13"/>
        <w:tabs>
          <w:tab w:val="left" w:pos="900"/>
        </w:tabs>
        <w:ind w:hanging="590"/>
      </w:pPr>
      <w:bookmarkStart w:id="93" w:name="OLE_LINK77"/>
      <w:r>
        <w:t>一侧输卵管和卵巢缺失；</w:t>
      </w:r>
    </w:p>
    <w:bookmarkEnd w:id="93"/>
    <w:p>
      <w:pPr>
        <w:pStyle w:val="13"/>
        <w:tabs>
          <w:tab w:val="left" w:pos="900"/>
        </w:tabs>
        <w:ind w:hanging="590"/>
        <w:rPr>
          <w:rFonts w:hint="eastAsia"/>
        </w:rPr>
      </w:pPr>
      <w:bookmarkStart w:id="94" w:name="OLE_LINK78"/>
      <w:r>
        <w:rPr>
          <w:rFonts w:hint="eastAsia"/>
        </w:rPr>
        <w:t>阴道狭窄；</w:t>
      </w:r>
    </w:p>
    <w:p>
      <w:pPr>
        <w:pStyle w:val="13"/>
        <w:tabs>
          <w:tab w:val="left" w:pos="900"/>
        </w:tabs>
        <w:ind w:hanging="590"/>
        <w:rPr>
          <w:rFonts w:hint="eastAsia"/>
          <w:szCs w:val="21"/>
        </w:rPr>
      </w:pPr>
      <w:r>
        <w:rPr>
          <w:rFonts w:hAnsi="宋体"/>
          <w:szCs w:val="21"/>
        </w:rPr>
        <w:t>一侧睾丸缺失</w:t>
      </w:r>
      <w:r>
        <w:rPr>
          <w:rFonts w:hint="eastAsia" w:hAnsi="宋体"/>
          <w:szCs w:val="21"/>
        </w:rPr>
        <w:t>；</w:t>
      </w:r>
    </w:p>
    <w:p>
      <w:pPr>
        <w:pStyle w:val="13"/>
        <w:tabs>
          <w:tab w:val="left" w:pos="900"/>
        </w:tabs>
        <w:ind w:hanging="590"/>
        <w:rPr>
          <w:rFonts w:hint="eastAsia"/>
          <w:szCs w:val="21"/>
        </w:rPr>
      </w:pPr>
      <w:r>
        <w:rPr>
          <w:rFonts w:hint="eastAsia" w:hAnsi="宋体"/>
          <w:szCs w:val="21"/>
        </w:rPr>
        <w:t>睾丸或者附睾损伤，生殖功能轻度损害；</w:t>
      </w:r>
    </w:p>
    <w:p>
      <w:pPr>
        <w:pStyle w:val="13"/>
        <w:tabs>
          <w:tab w:val="left" w:pos="900"/>
        </w:tabs>
        <w:ind w:hanging="590"/>
        <w:rPr>
          <w:rFonts w:hint="eastAsia"/>
        </w:rPr>
      </w:pPr>
      <w:r>
        <w:t>阴茎</w:t>
      </w:r>
      <w:r>
        <w:rPr>
          <w:rFonts w:hint="eastAsia"/>
        </w:rPr>
        <w:t>冠状沟以上缺失；</w:t>
      </w:r>
    </w:p>
    <w:p>
      <w:pPr>
        <w:pStyle w:val="13"/>
        <w:tabs>
          <w:tab w:val="left" w:pos="900"/>
        </w:tabs>
        <w:ind w:hanging="590"/>
        <w:rPr>
          <w:rFonts w:hint="eastAsia"/>
        </w:rPr>
      </w:pPr>
      <w:r>
        <w:rPr>
          <w:rFonts w:hint="eastAsia"/>
        </w:rPr>
        <w:t>阴茎皮肤瘢痕形成，严重影响性交行为。</w:t>
      </w:r>
    </w:p>
    <w:bookmarkEnd w:id="94"/>
    <w:p>
      <w:pPr>
        <w:pStyle w:val="12"/>
        <w:spacing w:before="120" w:after="120"/>
        <w:ind w:left="210" w:right="210"/>
        <w:rPr>
          <w:rFonts w:hint="eastAsia"/>
        </w:rPr>
      </w:pPr>
      <w:bookmarkStart w:id="95" w:name="OLE_LINK79"/>
      <w:r>
        <w:rPr>
          <w:rFonts w:hint="eastAsia"/>
        </w:rPr>
        <w:t>脊柱、骨盆及四肢损伤</w:t>
      </w:r>
    </w:p>
    <w:p>
      <w:pPr>
        <w:pStyle w:val="13"/>
        <w:numPr>
          <w:ilvl w:val="1"/>
          <w:numId w:val="52"/>
        </w:numPr>
        <w:tabs>
          <w:tab w:val="left" w:pos="900"/>
          <w:tab w:val="left" w:pos="1130"/>
        </w:tabs>
        <w:ind w:left="1129" w:hanging="590"/>
        <w:rPr>
          <w:rFonts w:hint="eastAsia"/>
        </w:rPr>
      </w:pPr>
      <w:r>
        <w:rPr>
          <w:rFonts w:hint="eastAsia"/>
        </w:rPr>
        <w:t>二</w:t>
      </w:r>
      <w:r>
        <w:t>椎体压缩性骨折</w:t>
      </w:r>
      <w:r>
        <w:rPr>
          <w:rFonts w:hint="eastAsia"/>
        </w:rPr>
        <w:t>（</w:t>
      </w:r>
      <w:r>
        <w:t>压缩</w:t>
      </w:r>
      <w:r>
        <w:rPr>
          <w:rFonts w:hint="eastAsia"/>
        </w:rPr>
        <w:t>程度</w:t>
      </w:r>
      <w:r>
        <w:t>均达1/3</w:t>
      </w:r>
      <w:r>
        <w:rPr>
          <w:rFonts w:hint="eastAsia"/>
        </w:rPr>
        <w:t>）</w:t>
      </w:r>
      <w:r>
        <w:t>；</w:t>
      </w:r>
    </w:p>
    <w:bookmarkEnd w:id="95"/>
    <w:p>
      <w:pPr>
        <w:pStyle w:val="13"/>
        <w:tabs>
          <w:tab w:val="left" w:pos="900"/>
        </w:tabs>
        <w:ind w:hanging="590"/>
        <w:rPr>
          <w:rFonts w:hint="eastAsia"/>
        </w:rPr>
      </w:pPr>
      <w:bookmarkStart w:id="96" w:name="OLE_LINK80"/>
      <w:r>
        <w:rPr>
          <w:rFonts w:hint="eastAsia"/>
        </w:rPr>
        <w:t>三个以上椎体骨折，经手术治疗后；</w:t>
      </w:r>
    </w:p>
    <w:p>
      <w:pPr>
        <w:pStyle w:val="13"/>
        <w:tabs>
          <w:tab w:val="left" w:pos="900"/>
        </w:tabs>
        <w:ind w:hanging="590"/>
      </w:pPr>
      <w:r>
        <w:t>女性骨盆骨折致骨产道变形，不能</w:t>
      </w:r>
      <w:r>
        <w:rPr>
          <w:rFonts w:hint="eastAsia"/>
        </w:rPr>
        <w:t>自然</w:t>
      </w:r>
      <w:r>
        <w:t>分娩；</w:t>
      </w:r>
    </w:p>
    <w:bookmarkEnd w:id="96"/>
    <w:p>
      <w:pPr>
        <w:pStyle w:val="13"/>
        <w:tabs>
          <w:tab w:val="left" w:pos="900"/>
        </w:tabs>
        <w:ind w:hanging="590"/>
      </w:pPr>
      <w:bookmarkStart w:id="97" w:name="OLE_LINK83"/>
      <w:bookmarkStart w:id="98" w:name="OLE_LINK82"/>
      <w:r>
        <w:t>股骨头缺血</w:t>
      </w:r>
      <w:r>
        <w:rPr>
          <w:rFonts w:hint="eastAsia"/>
        </w:rPr>
        <w:t>性</w:t>
      </w:r>
      <w:r>
        <w:t>坏死</w:t>
      </w:r>
      <w:r>
        <w:rPr>
          <w:rFonts w:hint="eastAsia"/>
        </w:rPr>
        <w:t>，难以行关节假体置换术</w:t>
      </w:r>
      <w:r>
        <w:t>；</w:t>
      </w:r>
    </w:p>
    <w:p>
      <w:pPr>
        <w:pStyle w:val="13"/>
        <w:tabs>
          <w:tab w:val="left" w:pos="900"/>
        </w:tabs>
        <w:ind w:hanging="590"/>
      </w:pPr>
      <w:bookmarkStart w:id="99" w:name="OLE_LINK85"/>
      <w:bookmarkStart w:id="100" w:name="OLE_LINK81"/>
      <w:r>
        <w:rPr>
          <w:rFonts w:hint="eastAsia"/>
        </w:rPr>
        <w:t>四肢长骨开放性骨折</w:t>
      </w:r>
      <w:r>
        <w:t>并发慢性骨髓炎</w:t>
      </w:r>
      <w:r>
        <w:rPr>
          <w:rFonts w:hint="eastAsia"/>
        </w:rPr>
        <w:t>、大块死骨形成，长期不愈（1年以上）；</w:t>
      </w:r>
      <w:r>
        <w:t xml:space="preserve"> </w:t>
      </w:r>
    </w:p>
    <w:p>
      <w:pPr>
        <w:pStyle w:val="13"/>
        <w:tabs>
          <w:tab w:val="left" w:pos="900"/>
        </w:tabs>
        <w:ind w:hanging="590"/>
        <w:rPr>
          <w:rFonts w:hint="eastAsia"/>
        </w:rPr>
      </w:pPr>
      <w:r>
        <w:rPr>
          <w:rFonts w:hint="eastAsia"/>
        </w:rPr>
        <w:t>双上肢长度相差8.0cm以上；</w:t>
      </w:r>
    </w:p>
    <w:p>
      <w:pPr>
        <w:pStyle w:val="13"/>
        <w:tabs>
          <w:tab w:val="left" w:pos="900"/>
        </w:tabs>
        <w:ind w:hanging="590"/>
      </w:pPr>
      <w:r>
        <w:t>双下肢长度相差</w:t>
      </w:r>
      <w:r>
        <w:rPr>
          <w:rFonts w:hint="eastAsia"/>
        </w:rPr>
        <w:t>6.0</w:t>
      </w:r>
      <w:r>
        <w:t>cm</w:t>
      </w:r>
      <w:r>
        <w:rPr>
          <w:rFonts w:hint="eastAsia"/>
        </w:rPr>
        <w:t>以上</w:t>
      </w:r>
      <w:r>
        <w:t>；</w:t>
      </w:r>
    </w:p>
    <w:bookmarkEnd w:id="99"/>
    <w:bookmarkEnd w:id="100"/>
    <w:p>
      <w:pPr>
        <w:pStyle w:val="13"/>
        <w:tabs>
          <w:tab w:val="left" w:pos="900"/>
        </w:tabs>
        <w:ind w:hanging="590"/>
        <w:rPr>
          <w:rFonts w:hint="eastAsia"/>
        </w:rPr>
      </w:pPr>
      <w:r>
        <w:rPr>
          <w:rFonts w:hint="eastAsia"/>
        </w:rPr>
        <w:t>四肢任</w:t>
      </w:r>
      <w:r>
        <w:t>一</w:t>
      </w:r>
      <w:r>
        <w:rPr>
          <w:rFonts w:hint="eastAsia"/>
        </w:rPr>
        <w:t>大关节（踝关节除外）功能丧失75%以上</w:t>
      </w:r>
      <w:r>
        <w:t>；</w:t>
      </w:r>
    </w:p>
    <w:p>
      <w:pPr>
        <w:pStyle w:val="13"/>
        <w:tabs>
          <w:tab w:val="left" w:pos="900"/>
        </w:tabs>
        <w:ind w:left="900" w:hanging="360"/>
        <w:rPr>
          <w:rFonts w:hint="eastAsia"/>
        </w:rPr>
      </w:pPr>
      <w:r>
        <w:rPr>
          <w:rFonts w:hint="eastAsia"/>
        </w:rPr>
        <w:t>一踝关节强直固定于非功能位；</w:t>
      </w:r>
    </w:p>
    <w:p>
      <w:pPr>
        <w:pStyle w:val="13"/>
        <w:tabs>
          <w:tab w:val="left" w:pos="900"/>
        </w:tabs>
        <w:ind w:left="900" w:hanging="360"/>
        <w:rPr>
          <w:rFonts w:hint="eastAsia"/>
        </w:rPr>
      </w:pPr>
      <w:r>
        <w:rPr>
          <w:rFonts w:hint="eastAsia"/>
        </w:rPr>
        <w:t>一肢体各大关节功能丧失均达50%；</w:t>
      </w:r>
    </w:p>
    <w:p>
      <w:pPr>
        <w:pStyle w:val="13"/>
        <w:tabs>
          <w:tab w:val="left" w:pos="900"/>
        </w:tabs>
        <w:ind w:left="900" w:hanging="360"/>
        <w:rPr>
          <w:rFonts w:hint="eastAsia"/>
        </w:rPr>
      </w:pPr>
      <w:r>
        <w:rPr>
          <w:rFonts w:hint="eastAsia"/>
        </w:rPr>
        <w:t>一手拇指缺失达近节指骨1/2以上并相应掌指关节强直固定；</w:t>
      </w:r>
    </w:p>
    <w:p>
      <w:pPr>
        <w:pStyle w:val="13"/>
        <w:tabs>
          <w:tab w:val="left" w:pos="900"/>
        </w:tabs>
        <w:ind w:hanging="590"/>
        <w:rPr>
          <w:rFonts w:hint="eastAsia"/>
        </w:rPr>
      </w:pPr>
      <w:r>
        <w:t>一足足弓结构完全破坏，另一足足弓结构部分破坏</w:t>
      </w:r>
      <w:r>
        <w:rPr>
          <w:rFonts w:hint="eastAsia"/>
        </w:rPr>
        <w:t>；</w:t>
      </w:r>
    </w:p>
    <w:p>
      <w:pPr>
        <w:pStyle w:val="13"/>
        <w:tabs>
          <w:tab w:val="left" w:pos="900"/>
        </w:tabs>
        <w:ind w:hanging="590"/>
        <w:rPr>
          <w:rFonts w:hint="eastAsia"/>
        </w:rPr>
      </w:pPr>
      <w:r>
        <w:rPr>
          <w:rFonts w:hint="eastAsia"/>
        </w:rPr>
        <w:t>手或者足功能丧失分值</w:t>
      </w:r>
      <w:r>
        <w:rPr>
          <w:rFonts w:hint="eastAsia" w:hAnsi="宋体"/>
        </w:rPr>
        <w:t>≥40</w:t>
      </w:r>
      <w:r>
        <w:rPr>
          <w:rFonts w:hint="eastAsia"/>
        </w:rPr>
        <w:t>分。</w:t>
      </w:r>
    </w:p>
    <w:bookmarkEnd w:id="97"/>
    <w:p>
      <w:pPr>
        <w:pStyle w:val="12"/>
        <w:spacing w:before="120" w:after="120"/>
        <w:ind w:left="210" w:right="210"/>
        <w:rPr>
          <w:rFonts w:hint="eastAsia"/>
        </w:rPr>
      </w:pPr>
      <w:bookmarkStart w:id="101" w:name="OLE_LINK84"/>
      <w:r>
        <w:rPr>
          <w:rFonts w:hint="eastAsia"/>
        </w:rPr>
        <w:t>体表及其他损伤</w:t>
      </w:r>
    </w:p>
    <w:p>
      <w:pPr>
        <w:pStyle w:val="13"/>
        <w:numPr>
          <w:ilvl w:val="1"/>
          <w:numId w:val="53"/>
        </w:numPr>
        <w:tabs>
          <w:tab w:val="left" w:pos="900"/>
          <w:tab w:val="left" w:pos="1130"/>
        </w:tabs>
        <w:ind w:hanging="563"/>
      </w:pPr>
      <w:r>
        <w:t>皮肤瘢痕形成达体表面积30％</w:t>
      </w:r>
      <w:r>
        <w:rPr>
          <w:rFonts w:hint="eastAsia"/>
        </w:rPr>
        <w:t>。</w:t>
      </w:r>
    </w:p>
    <w:bookmarkEnd w:id="98"/>
    <w:bookmarkEnd w:id="101"/>
    <w:p>
      <w:pPr>
        <w:pStyle w:val="11"/>
        <w:spacing w:before="120" w:after="120"/>
        <w:ind w:left="210" w:right="210"/>
      </w:pPr>
      <w:bookmarkStart w:id="102" w:name="_Toc384919728"/>
      <w:bookmarkStart w:id="103" w:name="_Toc386380668"/>
      <w:r>
        <w:t>九级</w:t>
      </w:r>
      <w:bookmarkEnd w:id="102"/>
      <w:bookmarkEnd w:id="103"/>
    </w:p>
    <w:p>
      <w:pPr>
        <w:pStyle w:val="12"/>
        <w:spacing w:before="120" w:after="120"/>
        <w:ind w:left="210" w:right="210"/>
        <w:rPr>
          <w:rFonts w:hint="eastAsia"/>
        </w:rPr>
      </w:pPr>
      <w:bookmarkStart w:id="104" w:name="OLE_LINK86"/>
      <w:r>
        <w:rPr>
          <w:rFonts w:hint="eastAsia"/>
        </w:rPr>
        <w:t>颅脑、脊髓及周围神经损伤</w:t>
      </w:r>
    </w:p>
    <w:p>
      <w:pPr>
        <w:pStyle w:val="13"/>
        <w:numPr>
          <w:ilvl w:val="1"/>
          <w:numId w:val="54"/>
        </w:numPr>
        <w:tabs>
          <w:tab w:val="left" w:pos="900"/>
          <w:tab w:val="left" w:pos="1130"/>
        </w:tabs>
        <w:ind w:left="1129" w:hanging="590"/>
        <w:rPr>
          <w:rFonts w:hAnsi="宋体"/>
        </w:rPr>
      </w:pPr>
      <w:r>
        <w:t>精神障碍或者轻度智能减退，日常生活有关的活动能力</w:t>
      </w:r>
      <w:r>
        <w:rPr>
          <w:rFonts w:hint="eastAsia"/>
        </w:rPr>
        <w:t>中度</w:t>
      </w:r>
      <w:r>
        <w:t>受限</w:t>
      </w:r>
      <w:r>
        <w:rPr>
          <w:rFonts w:hint="eastAsia"/>
        </w:rPr>
        <w:t>；</w:t>
      </w:r>
    </w:p>
    <w:p>
      <w:pPr>
        <w:pStyle w:val="13"/>
        <w:tabs>
          <w:tab w:val="left" w:pos="900"/>
        </w:tabs>
        <w:ind w:hanging="590"/>
      </w:pPr>
      <w:r>
        <w:t>外伤性癫痫（轻度）；</w:t>
      </w:r>
    </w:p>
    <w:p>
      <w:pPr>
        <w:pStyle w:val="13"/>
        <w:tabs>
          <w:tab w:val="left" w:pos="900"/>
        </w:tabs>
        <w:ind w:hanging="590"/>
        <w:rPr>
          <w:rFonts w:hint="eastAsia"/>
        </w:rPr>
      </w:pPr>
      <w:r>
        <w:t>脑</w:t>
      </w:r>
      <w:r>
        <w:rPr>
          <w:rFonts w:hint="eastAsia"/>
        </w:rPr>
        <w:t>叶</w:t>
      </w:r>
      <w:r>
        <w:t>部分切除术后；</w:t>
      </w:r>
    </w:p>
    <w:p>
      <w:pPr>
        <w:pStyle w:val="13"/>
        <w:tabs>
          <w:tab w:val="left" w:pos="900"/>
        </w:tabs>
        <w:ind w:left="900" w:hanging="360"/>
        <w:rPr>
          <w:rFonts w:hint="eastAsia"/>
        </w:rPr>
      </w:pPr>
      <w:r>
        <w:rPr>
          <w:rFonts w:hint="eastAsia"/>
        </w:rPr>
        <w:t>一</w:t>
      </w:r>
      <w:r>
        <w:t>侧部分</w:t>
      </w:r>
      <w:r>
        <w:rPr>
          <w:rFonts w:hint="eastAsia"/>
        </w:rPr>
        <w:t>面瘫</w:t>
      </w:r>
      <w:r>
        <w:t>，遗留眼睑闭合不全或者口角歪斜</w:t>
      </w:r>
      <w:r>
        <w:rPr>
          <w:rFonts w:hint="eastAsia"/>
        </w:rPr>
        <w:t>；</w:t>
      </w:r>
    </w:p>
    <w:bookmarkEnd w:id="104"/>
    <w:p>
      <w:pPr>
        <w:pStyle w:val="13"/>
        <w:tabs>
          <w:tab w:val="left" w:pos="900"/>
        </w:tabs>
        <w:ind w:hanging="590"/>
      </w:pPr>
      <w:bookmarkStart w:id="105" w:name="OLE_LINK88"/>
      <w:r>
        <w:t>一手部分肌瘫（肌力</w:t>
      </w:r>
      <w:r>
        <w:rPr>
          <w:rFonts w:hint="eastAsia"/>
        </w:rPr>
        <w:t>3</w:t>
      </w:r>
      <w:r>
        <w:t>级</w:t>
      </w:r>
      <w:r>
        <w:rPr>
          <w:rFonts w:hint="eastAsia"/>
        </w:rPr>
        <w:t>以下</w:t>
      </w:r>
      <w:r>
        <w:t>）；</w:t>
      </w:r>
    </w:p>
    <w:p>
      <w:pPr>
        <w:pStyle w:val="13"/>
        <w:tabs>
          <w:tab w:val="left" w:pos="900"/>
        </w:tabs>
        <w:ind w:hanging="590"/>
      </w:pPr>
      <w:r>
        <w:t>一足</w:t>
      </w:r>
      <w:r>
        <w:rPr>
          <w:rFonts w:hint="eastAsia"/>
        </w:rPr>
        <w:t>大</w:t>
      </w:r>
      <w:r>
        <w:t>部分肌瘫（肌力</w:t>
      </w:r>
      <w:r>
        <w:rPr>
          <w:rFonts w:hint="eastAsia"/>
        </w:rPr>
        <w:t>3</w:t>
      </w:r>
      <w:r>
        <w:t>级</w:t>
      </w:r>
      <w:r>
        <w:rPr>
          <w:rFonts w:hint="eastAsia"/>
        </w:rPr>
        <w:t>以下</w:t>
      </w:r>
      <w:r>
        <w:t>）；</w:t>
      </w:r>
    </w:p>
    <w:p>
      <w:pPr>
        <w:pStyle w:val="13"/>
        <w:tabs>
          <w:tab w:val="left" w:pos="900"/>
        </w:tabs>
        <w:ind w:left="900" w:hanging="360"/>
      </w:pPr>
      <w:r>
        <w:rPr>
          <w:rFonts w:hint="eastAsia"/>
        </w:rPr>
        <w:t>四肢重要</w:t>
      </w:r>
      <w:r>
        <w:t>神经损伤</w:t>
      </w:r>
      <w:r>
        <w:rPr>
          <w:rFonts w:hint="eastAsia"/>
        </w:rPr>
        <w:t>（上肢肘关节以上，下肢膝关节以上），遗留相应肌群肌力3级以下；</w:t>
      </w:r>
    </w:p>
    <w:p>
      <w:pPr>
        <w:pStyle w:val="13"/>
        <w:tabs>
          <w:tab w:val="left" w:pos="900"/>
        </w:tabs>
        <w:ind w:hanging="590"/>
        <w:rPr>
          <w:rFonts w:hint="eastAsia"/>
        </w:rPr>
      </w:pPr>
      <w:r>
        <w:t>严重影响阴茎勃起功能</w:t>
      </w:r>
      <w:r>
        <w:rPr>
          <w:rFonts w:hint="eastAsia"/>
        </w:rPr>
        <w:t>；</w:t>
      </w:r>
    </w:p>
    <w:p>
      <w:pPr>
        <w:pStyle w:val="13"/>
        <w:tabs>
          <w:tab w:val="left" w:pos="900"/>
        </w:tabs>
        <w:ind w:hanging="590"/>
        <w:rPr>
          <w:rFonts w:hint="eastAsia"/>
        </w:rPr>
      </w:pPr>
      <w:r>
        <w:rPr>
          <w:rFonts w:hint="eastAsia"/>
        </w:rPr>
        <w:t>轻度排便或者排尿功能障碍。</w:t>
      </w:r>
    </w:p>
    <w:bookmarkEnd w:id="105"/>
    <w:p>
      <w:pPr>
        <w:pStyle w:val="12"/>
        <w:spacing w:before="120" w:after="120"/>
        <w:ind w:left="210" w:right="210"/>
        <w:rPr>
          <w:rFonts w:hint="eastAsia"/>
        </w:rPr>
      </w:pPr>
      <w:bookmarkStart w:id="106" w:name="OLE_LINK89"/>
      <w:r>
        <w:rPr>
          <w:rFonts w:hint="eastAsia"/>
        </w:rPr>
        <w:t>头面部损伤</w:t>
      </w:r>
    </w:p>
    <w:p>
      <w:pPr>
        <w:pStyle w:val="13"/>
        <w:numPr>
          <w:ilvl w:val="1"/>
          <w:numId w:val="55"/>
        </w:numPr>
        <w:tabs>
          <w:tab w:val="left" w:pos="900"/>
          <w:tab w:val="left" w:pos="1130"/>
        </w:tabs>
        <w:ind w:hanging="590"/>
      </w:pPr>
      <w:r>
        <w:t>头皮瘢痕形成或者无毛发，达头皮面积50％；</w:t>
      </w:r>
    </w:p>
    <w:p>
      <w:pPr>
        <w:pStyle w:val="13"/>
        <w:tabs>
          <w:tab w:val="left" w:pos="900"/>
        </w:tabs>
        <w:ind w:hanging="590"/>
        <w:rPr>
          <w:rFonts w:hint="eastAsia"/>
        </w:rPr>
      </w:pPr>
      <w:r>
        <w:t>颅骨缺损25</w:t>
      </w:r>
      <w:r>
        <w:rPr>
          <w:rFonts w:hint="eastAsia"/>
        </w:rPr>
        <w:t>.0</w:t>
      </w:r>
      <w:r>
        <w:t>cm</w:t>
      </w:r>
      <w:r>
        <w:rPr>
          <w:vertAlign w:val="superscript"/>
        </w:rPr>
        <w:t>2</w:t>
      </w:r>
      <w:r>
        <w:t>以上</w:t>
      </w:r>
      <w:r>
        <w:rPr>
          <w:rFonts w:hint="eastAsia"/>
        </w:rPr>
        <w:t>，不宜或者无法手术修补；</w:t>
      </w:r>
    </w:p>
    <w:p>
      <w:pPr>
        <w:pStyle w:val="13"/>
        <w:tabs>
          <w:tab w:val="left" w:pos="900"/>
        </w:tabs>
        <w:ind w:hanging="590"/>
      </w:pPr>
      <w:r>
        <w:t>容貌毁损（轻度）</w:t>
      </w:r>
      <w:r>
        <w:rPr>
          <w:rFonts w:hint="eastAsia"/>
        </w:rPr>
        <w:t>；</w:t>
      </w:r>
    </w:p>
    <w:p>
      <w:pPr>
        <w:pStyle w:val="13"/>
        <w:tabs>
          <w:tab w:val="left" w:pos="900"/>
        </w:tabs>
        <w:ind w:left="896" w:hanging="357"/>
        <w:rPr>
          <w:rFonts w:hint="eastAsia"/>
        </w:rPr>
      </w:pPr>
      <w:r>
        <w:t>面部</w:t>
      </w:r>
      <w:r>
        <w:rPr>
          <w:rFonts w:hint="eastAsia"/>
        </w:rPr>
        <w:t>条状</w:t>
      </w:r>
      <w:r>
        <w:t>瘢痕</w:t>
      </w:r>
      <w:r>
        <w:rPr>
          <w:rFonts w:hint="eastAsia"/>
        </w:rPr>
        <w:t>形成，</w:t>
      </w:r>
      <w:r>
        <w:t>累计长</w:t>
      </w:r>
      <w:r>
        <w:rPr>
          <w:rFonts w:hint="eastAsia"/>
        </w:rPr>
        <w:t>度达</w:t>
      </w:r>
      <w:r>
        <w:t>20</w:t>
      </w:r>
      <w:r>
        <w:rPr>
          <w:rFonts w:hint="eastAsia"/>
        </w:rPr>
        <w:t>.0</w:t>
      </w:r>
      <w:r>
        <w:t>cm；面部条状瘢痕</w:t>
      </w:r>
      <w:r>
        <w:rPr>
          <w:rFonts w:hint="eastAsia"/>
        </w:rPr>
        <w:t>形成</w:t>
      </w:r>
      <w:r>
        <w:t>（宽度</w:t>
      </w:r>
      <w:r>
        <w:rPr>
          <w:rFonts w:hint="eastAsia"/>
        </w:rPr>
        <w:t>达</w:t>
      </w:r>
      <w:r>
        <w:t>0.2cm），累计长度</w:t>
      </w:r>
      <w:r>
        <w:rPr>
          <w:rFonts w:hint="eastAsia"/>
        </w:rPr>
        <w:t>达</w:t>
      </w:r>
      <w:r>
        <w:t>10</w:t>
      </w:r>
      <w:r>
        <w:rPr>
          <w:rFonts w:hint="eastAsia"/>
        </w:rPr>
        <w:t>.0</w:t>
      </w:r>
      <w:r>
        <w:t>cm，其中</w:t>
      </w:r>
      <w:r>
        <w:rPr>
          <w:rFonts w:hint="eastAsia"/>
        </w:rPr>
        <w:t>至少</w:t>
      </w:r>
      <w:r>
        <w:t>5</w:t>
      </w:r>
      <w:r>
        <w:rPr>
          <w:rFonts w:hint="eastAsia"/>
        </w:rPr>
        <w:t>.0</w:t>
      </w:r>
      <w:r>
        <w:t>cm</w:t>
      </w:r>
      <w:r>
        <w:rPr>
          <w:rFonts w:hint="eastAsia"/>
        </w:rPr>
        <w:t>以上</w:t>
      </w:r>
      <w:r>
        <w:t>位于面部中心区；</w:t>
      </w:r>
    </w:p>
    <w:p>
      <w:pPr>
        <w:pStyle w:val="13"/>
        <w:tabs>
          <w:tab w:val="left" w:pos="900"/>
        </w:tabs>
        <w:ind w:hanging="590"/>
      </w:pPr>
      <w:r>
        <w:t>面部块状瘢痕</w:t>
      </w:r>
      <w:r>
        <w:rPr>
          <w:rFonts w:hint="eastAsia"/>
        </w:rPr>
        <w:t>形成</w:t>
      </w:r>
      <w:r>
        <w:t>，单块面积</w:t>
      </w:r>
      <w:r>
        <w:rPr>
          <w:rFonts w:hint="eastAsia"/>
        </w:rPr>
        <w:t>达</w:t>
      </w:r>
      <w:r>
        <w:t>7</w:t>
      </w:r>
      <w:r>
        <w:rPr>
          <w:rFonts w:hint="eastAsia"/>
        </w:rPr>
        <w:t>.0</w:t>
      </w:r>
      <w:r>
        <w:t>cm</w:t>
      </w:r>
      <w:r>
        <w:rPr>
          <w:vertAlign w:val="superscript"/>
        </w:rPr>
        <w:t>2</w:t>
      </w:r>
      <w:r>
        <w:rPr>
          <w:rFonts w:hint="eastAsia"/>
        </w:rPr>
        <w:t>，</w:t>
      </w:r>
      <w:r>
        <w:t>或者多块累计面积</w:t>
      </w:r>
      <w:r>
        <w:rPr>
          <w:rFonts w:hint="eastAsia"/>
        </w:rPr>
        <w:t>达</w:t>
      </w:r>
      <w:r>
        <w:t>9</w:t>
      </w:r>
      <w:r>
        <w:rPr>
          <w:rFonts w:hint="eastAsia"/>
        </w:rPr>
        <w:t>.0</w:t>
      </w:r>
      <w:r>
        <w:t>cm</w:t>
      </w:r>
      <w:r>
        <w:rPr>
          <w:vertAlign w:val="superscript"/>
        </w:rPr>
        <w:t>2</w:t>
      </w:r>
      <w:r>
        <w:t>；</w:t>
      </w:r>
    </w:p>
    <w:p>
      <w:pPr>
        <w:pStyle w:val="13"/>
        <w:tabs>
          <w:tab w:val="left" w:pos="900"/>
        </w:tabs>
        <w:ind w:hanging="590"/>
      </w:pPr>
      <w:r>
        <w:t>面部片状细小瘢痕</w:t>
      </w:r>
      <w:r>
        <w:rPr>
          <w:rFonts w:hint="eastAsia"/>
        </w:rPr>
        <w:t>形成或者</w:t>
      </w:r>
      <w:r>
        <w:t>色素</w:t>
      </w:r>
      <w:r>
        <w:rPr>
          <w:rFonts w:hint="eastAsia"/>
        </w:rPr>
        <w:t>异常</w:t>
      </w:r>
      <w:r>
        <w:t>，累计</w:t>
      </w:r>
      <w:r>
        <w:rPr>
          <w:rFonts w:hint="eastAsia"/>
        </w:rPr>
        <w:t>面积</w:t>
      </w:r>
      <w:r>
        <w:t>达3</w:t>
      </w:r>
      <w:r>
        <w:rPr>
          <w:rFonts w:hint="eastAsia"/>
        </w:rPr>
        <w:t>0.0</w:t>
      </w:r>
      <w:r>
        <w:t>cm</w:t>
      </w:r>
      <w:r>
        <w:rPr>
          <w:vertAlign w:val="superscript"/>
        </w:rPr>
        <w:t>2</w:t>
      </w:r>
      <w:r>
        <w:t>；</w:t>
      </w:r>
    </w:p>
    <w:p>
      <w:pPr>
        <w:pStyle w:val="13"/>
        <w:tabs>
          <w:tab w:val="left" w:pos="900"/>
        </w:tabs>
        <w:ind w:left="900" w:hanging="360"/>
      </w:pPr>
      <w:r>
        <w:rPr>
          <w:rFonts w:hint="eastAsia"/>
        </w:rPr>
        <w:t>一侧眼睑严重畸形</w:t>
      </w:r>
      <w:r>
        <w:t>；一侧眼睑重度下垂，遮盖全部瞳孔</w:t>
      </w:r>
      <w:r>
        <w:rPr>
          <w:rFonts w:hint="eastAsia"/>
        </w:rPr>
        <w:t>；双侧眼睑轻度畸形；</w:t>
      </w:r>
      <w:r>
        <w:t>双</w:t>
      </w:r>
      <w:r>
        <w:rPr>
          <w:rFonts w:hint="eastAsia"/>
        </w:rPr>
        <w:t>侧</w:t>
      </w:r>
      <w:r>
        <w:t>眼睑下垂，遮盖部分瞳孔</w:t>
      </w:r>
      <w:r>
        <w:rPr>
          <w:rFonts w:hint="eastAsia"/>
        </w:rPr>
        <w:t>；</w:t>
      </w:r>
    </w:p>
    <w:p>
      <w:pPr>
        <w:pStyle w:val="13"/>
        <w:tabs>
          <w:tab w:val="left" w:pos="900"/>
        </w:tabs>
        <w:ind w:hanging="590"/>
      </w:pPr>
      <w:r>
        <w:t>双眼泪器损伤均</w:t>
      </w:r>
      <w:r>
        <w:rPr>
          <w:rFonts w:hint="eastAsia"/>
        </w:rPr>
        <w:t>后遗</w:t>
      </w:r>
      <w:r>
        <w:t>溢泪；</w:t>
      </w:r>
    </w:p>
    <w:p>
      <w:pPr>
        <w:pStyle w:val="13"/>
        <w:tabs>
          <w:tab w:val="left" w:pos="900"/>
        </w:tabs>
        <w:ind w:hanging="590"/>
        <w:rPr>
          <w:rFonts w:hint="eastAsia"/>
        </w:rPr>
      </w:pPr>
      <w:r>
        <w:rPr>
          <w:rFonts w:hint="eastAsia"/>
        </w:rPr>
        <w:t>双眼角膜斑翳或者血管翳，累及瞳孔区；</w:t>
      </w:r>
      <w:r>
        <w:t>双眼角膜移植术后；</w:t>
      </w:r>
    </w:p>
    <w:p>
      <w:pPr>
        <w:pStyle w:val="13"/>
        <w:tabs>
          <w:tab w:val="left" w:pos="900"/>
        </w:tabs>
        <w:ind w:hanging="590"/>
      </w:pPr>
      <w:r>
        <w:t>双眼外伤性白内障；儿童人工晶体植入术后；</w:t>
      </w:r>
    </w:p>
    <w:p>
      <w:pPr>
        <w:pStyle w:val="13"/>
        <w:tabs>
          <w:tab w:val="left" w:pos="900"/>
        </w:tabs>
        <w:ind w:hanging="590"/>
      </w:pPr>
      <w:r>
        <w:t>一眼</w:t>
      </w:r>
      <w:r>
        <w:rPr>
          <w:rFonts w:hint="eastAsia"/>
        </w:rPr>
        <w:t>盲目3级</w:t>
      </w:r>
      <w:r>
        <w:t>；</w:t>
      </w:r>
    </w:p>
    <w:p>
      <w:pPr>
        <w:pStyle w:val="13"/>
        <w:tabs>
          <w:tab w:val="left" w:pos="900"/>
        </w:tabs>
        <w:ind w:hanging="590"/>
      </w:pPr>
      <w:r>
        <w:t>一眼</w:t>
      </w:r>
      <w:r>
        <w:rPr>
          <w:rFonts w:hint="eastAsia"/>
        </w:rPr>
        <w:t>重</w:t>
      </w:r>
      <w:r>
        <w:t>度视力损害，另一眼视力</w:t>
      </w:r>
      <w:r>
        <w:rPr>
          <w:rFonts w:hint="eastAsia" w:hAnsi="宋体"/>
        </w:rPr>
        <w:t>≤</w:t>
      </w:r>
      <w:r>
        <w:t>0.5；</w:t>
      </w:r>
    </w:p>
    <w:p>
      <w:pPr>
        <w:pStyle w:val="13"/>
        <w:tabs>
          <w:tab w:val="left" w:pos="900"/>
        </w:tabs>
        <w:ind w:hanging="590"/>
      </w:pPr>
      <w:r>
        <w:t>一眼视野</w:t>
      </w:r>
      <w:r>
        <w:rPr>
          <w:rFonts w:hint="eastAsia"/>
        </w:rPr>
        <w:t>极度</w:t>
      </w:r>
      <w:r>
        <w:t>缺损，视野有效值</w:t>
      </w:r>
      <w:r>
        <w:rPr>
          <w:rFonts w:hint="eastAsia" w:hAnsi="宋体"/>
        </w:rPr>
        <w:t>≤</w:t>
      </w:r>
      <w:r>
        <w:rPr>
          <w:rFonts w:hint="eastAsia"/>
        </w:rPr>
        <w:t>8</w:t>
      </w:r>
      <w:r>
        <w:t>%（直径</w:t>
      </w:r>
      <w:r>
        <w:rPr>
          <w:rFonts w:hint="eastAsia" w:hAnsi="宋体"/>
        </w:rPr>
        <w:t>≤</w:t>
      </w:r>
      <w:r>
        <w:rPr>
          <w:rFonts w:hint="eastAsia"/>
        </w:rPr>
        <w:t>1</w:t>
      </w:r>
      <w:r>
        <w:t>0°）；</w:t>
      </w:r>
    </w:p>
    <w:p>
      <w:pPr>
        <w:pStyle w:val="13"/>
        <w:tabs>
          <w:tab w:val="left" w:pos="900"/>
        </w:tabs>
        <w:ind w:left="900" w:hanging="360"/>
        <w:rPr>
          <w:rFonts w:hint="eastAsia"/>
        </w:rPr>
      </w:pPr>
      <w:r>
        <w:t>双眼象限性视野缺损；</w:t>
      </w:r>
    </w:p>
    <w:p>
      <w:pPr>
        <w:pStyle w:val="13"/>
        <w:tabs>
          <w:tab w:val="left" w:pos="900"/>
        </w:tabs>
        <w:ind w:hanging="590"/>
        <w:rPr>
          <w:rFonts w:hint="eastAsia"/>
        </w:rPr>
      </w:pPr>
      <w:r>
        <w:rPr>
          <w:rFonts w:hint="eastAsia"/>
        </w:rPr>
        <w:t>一侧眼睑轻度畸形（或者</w:t>
      </w:r>
      <w:r>
        <w:t>眼睑下垂，遮盖</w:t>
      </w:r>
      <w:r>
        <w:rPr>
          <w:rFonts w:hint="eastAsia"/>
        </w:rPr>
        <w:t>部分</w:t>
      </w:r>
      <w:r>
        <w:t>瞳孔</w:t>
      </w:r>
      <w:r>
        <w:rPr>
          <w:rFonts w:hint="eastAsia"/>
        </w:rPr>
        <w:t>）合并该眼中度视力损害；</w:t>
      </w:r>
    </w:p>
    <w:p>
      <w:pPr>
        <w:pStyle w:val="13"/>
        <w:tabs>
          <w:tab w:val="left" w:pos="900"/>
        </w:tabs>
        <w:ind w:hanging="590"/>
        <w:rPr>
          <w:rFonts w:hint="eastAsia"/>
        </w:rPr>
      </w:pPr>
      <w:r>
        <w:rPr>
          <w:rFonts w:hint="eastAsia"/>
        </w:rPr>
        <w:t>一</w:t>
      </w:r>
      <w:r>
        <w:t>眼眶骨折</w:t>
      </w:r>
      <w:r>
        <w:rPr>
          <w:rFonts w:hint="eastAsia"/>
        </w:rPr>
        <w:t>后遗</w:t>
      </w:r>
      <w:r>
        <w:t>眼球内陷5mm以上</w:t>
      </w:r>
      <w:r>
        <w:rPr>
          <w:rFonts w:hint="eastAsia"/>
        </w:rPr>
        <w:t>；</w:t>
      </w:r>
    </w:p>
    <w:p>
      <w:pPr>
        <w:pStyle w:val="13"/>
        <w:tabs>
          <w:tab w:val="left" w:pos="900"/>
        </w:tabs>
        <w:ind w:hanging="590"/>
      </w:pPr>
      <w:r>
        <w:t>耳廓缺损或者畸形</w:t>
      </w:r>
      <w:r>
        <w:rPr>
          <w:rFonts w:hint="eastAsia"/>
        </w:rPr>
        <w:t>，</w:t>
      </w:r>
      <w:r>
        <w:t>累计</w:t>
      </w:r>
      <w:r>
        <w:rPr>
          <w:rFonts w:hint="eastAsia"/>
        </w:rPr>
        <w:t>相当于</w:t>
      </w:r>
      <w:r>
        <w:t>一侧耳廓；</w:t>
      </w:r>
    </w:p>
    <w:p>
      <w:pPr>
        <w:pStyle w:val="13"/>
        <w:tabs>
          <w:tab w:val="left" w:pos="900"/>
        </w:tabs>
        <w:ind w:hanging="590"/>
        <w:rPr>
          <w:rFonts w:hint="eastAsia"/>
        </w:rPr>
      </w:pPr>
      <w:r>
        <w:rPr>
          <w:rFonts w:hint="eastAsia"/>
        </w:rPr>
        <w:t>一</w:t>
      </w:r>
      <w:r>
        <w:t>耳听力障碍</w:t>
      </w:r>
      <w:r>
        <w:rPr>
          <w:rFonts w:hint="eastAsia" w:hAnsi="宋体"/>
        </w:rPr>
        <w:t>≥</w:t>
      </w:r>
      <w:r>
        <w:rPr>
          <w:rFonts w:hint="eastAsia"/>
        </w:rPr>
        <w:t>8</w:t>
      </w:r>
      <w:r>
        <w:t>1dB HL；</w:t>
      </w:r>
    </w:p>
    <w:p>
      <w:pPr>
        <w:pStyle w:val="13"/>
        <w:tabs>
          <w:tab w:val="left" w:pos="900"/>
        </w:tabs>
        <w:ind w:hanging="590"/>
        <w:rPr>
          <w:rFonts w:hint="eastAsia"/>
        </w:rPr>
      </w:pPr>
      <w:r>
        <w:rPr>
          <w:rFonts w:hint="eastAsia"/>
        </w:rPr>
        <w:t>一耳</w:t>
      </w:r>
      <w:r>
        <w:t>听力障碍</w:t>
      </w:r>
      <w:r>
        <w:rPr>
          <w:rFonts w:hint="eastAsia" w:hAnsi="宋体"/>
        </w:rPr>
        <w:t>≥</w:t>
      </w:r>
      <w:r>
        <w:rPr>
          <w:rFonts w:hint="eastAsia"/>
        </w:rPr>
        <w:t>6</w:t>
      </w:r>
      <w:r>
        <w:t>1dB HL</w:t>
      </w:r>
      <w:r>
        <w:rPr>
          <w:rFonts w:hint="eastAsia"/>
        </w:rPr>
        <w:t>，另一耳</w:t>
      </w:r>
      <w:r>
        <w:t>听力障碍</w:t>
      </w:r>
      <w:r>
        <w:rPr>
          <w:rFonts w:hint="eastAsia" w:hAnsi="宋体"/>
        </w:rPr>
        <w:t>≥</w:t>
      </w:r>
      <w:r>
        <w:rPr>
          <w:rFonts w:hint="eastAsia"/>
        </w:rPr>
        <w:t>4</w:t>
      </w:r>
      <w:r>
        <w:t>1dB HL；</w:t>
      </w:r>
    </w:p>
    <w:p>
      <w:pPr>
        <w:pStyle w:val="13"/>
        <w:tabs>
          <w:tab w:val="left" w:pos="900"/>
        </w:tabs>
        <w:ind w:hanging="590"/>
      </w:pPr>
      <w:r>
        <w:t>一侧鼻翼或者鼻尖大部分缺损或者严重畸形；</w:t>
      </w:r>
    </w:p>
    <w:p>
      <w:pPr>
        <w:pStyle w:val="13"/>
        <w:tabs>
          <w:tab w:val="left" w:pos="900"/>
        </w:tabs>
        <w:ind w:hanging="590"/>
      </w:pPr>
      <w:r>
        <w:t>唇缺损或者畸形</w:t>
      </w:r>
      <w:r>
        <w:rPr>
          <w:rFonts w:hint="eastAsia"/>
        </w:rPr>
        <w:t>，露齿3枚以上（其中1枚露齿达1/2）</w:t>
      </w:r>
      <w:r>
        <w:t>；</w:t>
      </w:r>
    </w:p>
    <w:p>
      <w:pPr>
        <w:pStyle w:val="13"/>
        <w:tabs>
          <w:tab w:val="left" w:pos="900"/>
        </w:tabs>
        <w:ind w:left="900" w:hanging="360"/>
        <w:rPr>
          <w:rFonts w:hint="eastAsia"/>
        </w:rPr>
      </w:pPr>
      <w:r>
        <w:rPr>
          <w:rFonts w:hint="eastAsia"/>
        </w:rPr>
        <w:t>颌骨骨折，经牵引或者固定治疗后遗留功能障碍；</w:t>
      </w:r>
    </w:p>
    <w:p>
      <w:pPr>
        <w:pStyle w:val="13"/>
        <w:tabs>
          <w:tab w:val="left" w:pos="900"/>
        </w:tabs>
        <w:ind w:left="900" w:hanging="360"/>
        <w:rPr>
          <w:rFonts w:hint="eastAsia"/>
        </w:rPr>
      </w:pPr>
      <w:r>
        <w:t>上颌骨或者下颌骨</w:t>
      </w:r>
      <w:r>
        <w:rPr>
          <w:rFonts w:hint="eastAsia"/>
        </w:rPr>
        <w:t>部分缺损伴</w:t>
      </w:r>
      <w:r>
        <w:t>牙齿缺失</w:t>
      </w:r>
      <w:r>
        <w:rPr>
          <w:rFonts w:hint="eastAsia"/>
        </w:rPr>
        <w:t>或者折断7</w:t>
      </w:r>
      <w:r>
        <w:t>枚以上；</w:t>
      </w:r>
    </w:p>
    <w:bookmarkEnd w:id="106"/>
    <w:p>
      <w:pPr>
        <w:pStyle w:val="13"/>
        <w:tabs>
          <w:tab w:val="left" w:pos="900"/>
        </w:tabs>
        <w:ind w:hanging="590"/>
      </w:pPr>
      <w:bookmarkStart w:id="107" w:name="OLE_LINK90"/>
      <w:r>
        <w:t>张口</w:t>
      </w:r>
      <w:r>
        <w:rPr>
          <w:rFonts w:hint="eastAsia"/>
        </w:rPr>
        <w:t>受限</w:t>
      </w:r>
      <w:r>
        <w:rPr>
          <w:rFonts w:hint="eastAsia" w:hAnsi="宋体" w:cs="宋体"/>
        </w:rPr>
        <w:t>Ⅱ</w:t>
      </w:r>
      <w:r>
        <w:t>度；</w:t>
      </w:r>
    </w:p>
    <w:p>
      <w:pPr>
        <w:pStyle w:val="13"/>
        <w:tabs>
          <w:tab w:val="left" w:pos="900"/>
        </w:tabs>
        <w:ind w:hanging="590"/>
      </w:pPr>
      <w:r>
        <w:t>发声功能或者构音功能障碍（轻度）</w:t>
      </w:r>
      <w:r>
        <w:rPr>
          <w:rFonts w:hint="eastAsia"/>
        </w:rPr>
        <w:t>。</w:t>
      </w:r>
    </w:p>
    <w:p>
      <w:pPr>
        <w:pStyle w:val="12"/>
        <w:spacing w:before="120" w:after="120"/>
        <w:ind w:left="210" w:right="210"/>
        <w:rPr>
          <w:rFonts w:hint="eastAsia"/>
        </w:rPr>
      </w:pPr>
      <w:r>
        <w:rPr>
          <w:rFonts w:hint="eastAsia"/>
        </w:rPr>
        <w:t>颈部及胸部损伤</w:t>
      </w:r>
    </w:p>
    <w:p>
      <w:pPr>
        <w:pStyle w:val="13"/>
        <w:numPr>
          <w:ilvl w:val="1"/>
          <w:numId w:val="56"/>
        </w:numPr>
        <w:tabs>
          <w:tab w:val="left" w:pos="900"/>
          <w:tab w:val="left" w:pos="1130"/>
        </w:tabs>
        <w:ind w:hanging="590"/>
      </w:pPr>
      <w:r>
        <w:t>颈前三角区瘢痕形成，累计面积达50</w:t>
      </w:r>
      <w:r>
        <w:rPr>
          <w:rFonts w:hint="eastAsia"/>
        </w:rPr>
        <w:t>.0</w:t>
      </w:r>
      <w:r>
        <w:t>cm</w:t>
      </w:r>
      <w:r>
        <w:rPr>
          <w:vertAlign w:val="superscript"/>
        </w:rPr>
        <w:t>2</w:t>
      </w:r>
      <w:r>
        <w:t>；</w:t>
      </w:r>
    </w:p>
    <w:bookmarkEnd w:id="107"/>
    <w:p>
      <w:pPr>
        <w:pStyle w:val="13"/>
        <w:tabs>
          <w:tab w:val="left" w:pos="900"/>
        </w:tabs>
        <w:ind w:hanging="590"/>
      </w:pPr>
      <w:bookmarkStart w:id="108" w:name="OLE_LINK91"/>
      <w:r>
        <w:t>甲状腺功能损害（轻度）</w:t>
      </w:r>
      <w:r>
        <w:rPr>
          <w:rFonts w:hint="eastAsia"/>
        </w:rPr>
        <w:t>；</w:t>
      </w:r>
    </w:p>
    <w:p>
      <w:pPr>
        <w:pStyle w:val="13"/>
        <w:tabs>
          <w:tab w:val="left" w:pos="900"/>
        </w:tabs>
        <w:ind w:hanging="590"/>
      </w:pPr>
      <w:r>
        <w:t>甲状旁腺功能损害（轻度）；</w:t>
      </w:r>
    </w:p>
    <w:p>
      <w:pPr>
        <w:pStyle w:val="13"/>
        <w:tabs>
          <w:tab w:val="left" w:pos="900"/>
        </w:tabs>
        <w:ind w:hanging="590"/>
      </w:pPr>
      <w:r>
        <w:rPr>
          <w:rFonts w:hint="eastAsia"/>
        </w:rPr>
        <w:t>气管或者支气管</w:t>
      </w:r>
      <w:r>
        <w:t>成形术后；</w:t>
      </w:r>
    </w:p>
    <w:p>
      <w:pPr>
        <w:pStyle w:val="13"/>
        <w:tabs>
          <w:tab w:val="left" w:pos="900"/>
        </w:tabs>
        <w:ind w:hanging="590"/>
      </w:pPr>
      <w:r>
        <w:t>食管</w:t>
      </w:r>
      <w:r>
        <w:rPr>
          <w:rFonts w:hint="eastAsia"/>
        </w:rPr>
        <w:t>吻合</w:t>
      </w:r>
      <w:r>
        <w:t>术后；</w:t>
      </w:r>
    </w:p>
    <w:p>
      <w:pPr>
        <w:pStyle w:val="13"/>
        <w:tabs>
          <w:tab w:val="left" w:pos="900"/>
        </w:tabs>
        <w:ind w:hanging="590"/>
      </w:pPr>
      <w:r>
        <w:t>食管腔内支架置</w:t>
      </w:r>
      <w:r>
        <w:rPr>
          <w:rFonts w:hint="eastAsia"/>
        </w:rPr>
        <w:t>入</w:t>
      </w:r>
      <w:r>
        <w:t>术后；</w:t>
      </w:r>
    </w:p>
    <w:p>
      <w:pPr>
        <w:pStyle w:val="13"/>
        <w:tabs>
          <w:tab w:val="left" w:pos="900"/>
        </w:tabs>
        <w:ind w:hanging="590"/>
      </w:pPr>
      <w:r>
        <w:t>食管损伤，影响吞咽功能</w:t>
      </w:r>
      <w:r>
        <w:rPr>
          <w:rFonts w:hint="eastAsia"/>
        </w:rPr>
        <w:t>；</w:t>
      </w:r>
    </w:p>
    <w:p>
      <w:pPr>
        <w:pStyle w:val="13"/>
        <w:tabs>
          <w:tab w:val="left" w:pos="900"/>
        </w:tabs>
        <w:ind w:hanging="590"/>
      </w:pPr>
      <w:r>
        <w:t>女性双侧乳房缺</w:t>
      </w:r>
      <w:r>
        <w:rPr>
          <w:rFonts w:hint="eastAsia"/>
        </w:rPr>
        <w:t>失或者</w:t>
      </w:r>
      <w:r>
        <w:t>毁损，</w:t>
      </w:r>
      <w:r>
        <w:rPr>
          <w:rFonts w:hint="eastAsia"/>
        </w:rPr>
        <w:t>累计</w:t>
      </w:r>
      <w:r>
        <w:t>范围相当于一侧乳房1/2</w:t>
      </w:r>
      <w:r>
        <w:rPr>
          <w:rFonts w:hint="eastAsia"/>
        </w:rPr>
        <w:t>以上</w:t>
      </w:r>
      <w:r>
        <w:t>；</w:t>
      </w:r>
    </w:p>
    <w:p>
      <w:pPr>
        <w:pStyle w:val="13"/>
        <w:tabs>
          <w:tab w:val="left" w:pos="900"/>
        </w:tabs>
        <w:ind w:hanging="590"/>
      </w:pPr>
      <w:r>
        <w:t>女性一侧乳房大部分缺</w:t>
      </w:r>
      <w:r>
        <w:rPr>
          <w:rFonts w:hint="eastAsia"/>
        </w:rPr>
        <w:t>失</w:t>
      </w:r>
      <w:r>
        <w:t>或者严重畸形；</w:t>
      </w:r>
    </w:p>
    <w:p>
      <w:pPr>
        <w:pStyle w:val="13"/>
        <w:tabs>
          <w:tab w:val="left" w:pos="900"/>
        </w:tabs>
        <w:ind w:hanging="590"/>
      </w:pPr>
      <w:r>
        <w:t>女性一侧乳头完全缺失</w:t>
      </w:r>
      <w:r>
        <w:rPr>
          <w:rFonts w:hint="eastAsia"/>
        </w:rPr>
        <w:t>或者</w:t>
      </w:r>
      <w:r>
        <w:t>双侧乳头部分缺失</w:t>
      </w:r>
      <w:r>
        <w:rPr>
          <w:rFonts w:hint="eastAsia"/>
        </w:rPr>
        <w:t>（</w:t>
      </w:r>
      <w:r>
        <w:t>或者畸形</w:t>
      </w:r>
      <w:r>
        <w:rPr>
          <w:rFonts w:hint="eastAsia"/>
        </w:rPr>
        <w:t>）</w:t>
      </w:r>
      <w:r>
        <w:t>；</w:t>
      </w:r>
    </w:p>
    <w:p>
      <w:pPr>
        <w:pStyle w:val="13"/>
        <w:tabs>
          <w:tab w:val="left" w:pos="900"/>
        </w:tabs>
        <w:ind w:left="900" w:hanging="360"/>
      </w:pPr>
      <w:r>
        <w:t>肋骨</w:t>
      </w:r>
      <w:r>
        <w:rPr>
          <w:rFonts w:hint="eastAsia"/>
        </w:rPr>
        <w:t>骨折12根以上，或者</w:t>
      </w:r>
      <w:r>
        <w:t>肋骨</w:t>
      </w:r>
      <w:r>
        <w:rPr>
          <w:rFonts w:hint="eastAsia"/>
        </w:rPr>
        <w:t>部分缺失4</w:t>
      </w:r>
      <w:r>
        <w:t>根以上</w:t>
      </w:r>
      <w:r>
        <w:rPr>
          <w:rFonts w:hint="eastAsia"/>
        </w:rPr>
        <w:t>；肋骨骨折8根以上并后遗4处畸形愈合；</w:t>
      </w:r>
    </w:p>
    <w:p>
      <w:pPr>
        <w:pStyle w:val="13"/>
        <w:tabs>
          <w:tab w:val="left" w:pos="900"/>
        </w:tabs>
        <w:ind w:hanging="590"/>
      </w:pPr>
      <w:r>
        <w:t>心功能不全，心功能</w:t>
      </w:r>
      <w:r>
        <w:fldChar w:fldCharType="begin"/>
      </w:r>
      <w:r>
        <w:instrText xml:space="preserve"> = 1 \* ROMAN </w:instrText>
      </w:r>
      <w:r>
        <w:fldChar w:fldCharType="separate"/>
      </w:r>
      <w:r>
        <w:t>I</w:t>
      </w:r>
      <w:r>
        <w:fldChar w:fldCharType="end"/>
      </w:r>
      <w:r>
        <w:t>级；</w:t>
      </w:r>
    </w:p>
    <w:p>
      <w:pPr>
        <w:pStyle w:val="13"/>
        <w:tabs>
          <w:tab w:val="left" w:pos="900"/>
        </w:tabs>
        <w:ind w:hanging="590"/>
      </w:pPr>
      <w:r>
        <w:t>冠状动脉移植术后；</w:t>
      </w:r>
    </w:p>
    <w:p>
      <w:pPr>
        <w:pStyle w:val="13"/>
        <w:tabs>
          <w:tab w:val="left" w:pos="900"/>
        </w:tabs>
        <w:ind w:hanging="590"/>
      </w:pPr>
      <w:r>
        <w:rPr>
          <w:rFonts w:hint="eastAsia"/>
        </w:rPr>
        <w:t>心脏</w:t>
      </w:r>
      <w:r>
        <w:t>室壁瘤；</w:t>
      </w:r>
    </w:p>
    <w:p>
      <w:pPr>
        <w:pStyle w:val="13"/>
        <w:tabs>
          <w:tab w:val="left" w:pos="900"/>
        </w:tabs>
        <w:ind w:hanging="590"/>
        <w:rPr>
          <w:rFonts w:hint="eastAsia"/>
        </w:rPr>
      </w:pPr>
      <w:bookmarkStart w:id="109" w:name="OLE_LINK99"/>
      <w:r>
        <w:t>心脏</w:t>
      </w:r>
      <w:r>
        <w:rPr>
          <w:rFonts w:hint="eastAsia"/>
        </w:rPr>
        <w:t>异物存留或者取出术后；</w:t>
      </w:r>
    </w:p>
    <w:p>
      <w:pPr>
        <w:pStyle w:val="13"/>
        <w:tabs>
          <w:tab w:val="left" w:pos="900"/>
        </w:tabs>
        <w:ind w:hanging="590"/>
      </w:pPr>
      <w:r>
        <w:t xml:space="preserve">缩窄性心包炎； </w:t>
      </w:r>
    </w:p>
    <w:p>
      <w:pPr>
        <w:pStyle w:val="13"/>
        <w:tabs>
          <w:tab w:val="left" w:pos="900"/>
        </w:tabs>
        <w:ind w:hanging="590"/>
      </w:pPr>
      <w:r>
        <w:t>胸导管损伤；</w:t>
      </w:r>
    </w:p>
    <w:p>
      <w:pPr>
        <w:pStyle w:val="13"/>
        <w:tabs>
          <w:tab w:val="left" w:pos="900"/>
        </w:tabs>
        <w:ind w:hanging="590"/>
      </w:pPr>
      <w:r>
        <w:t>肺段</w:t>
      </w:r>
      <w:r>
        <w:rPr>
          <w:rFonts w:hint="eastAsia"/>
        </w:rPr>
        <w:t>或者肺组织楔形切除术后</w:t>
      </w:r>
      <w:r>
        <w:t xml:space="preserve">； </w:t>
      </w:r>
    </w:p>
    <w:p>
      <w:pPr>
        <w:pStyle w:val="13"/>
        <w:tabs>
          <w:tab w:val="left" w:pos="900"/>
        </w:tabs>
        <w:ind w:hanging="590"/>
      </w:pPr>
      <w:r>
        <w:rPr>
          <w:rFonts w:hint="eastAsia"/>
        </w:rPr>
        <w:t>肺</w:t>
      </w:r>
      <w:r>
        <w:t>脏异物存留</w:t>
      </w:r>
      <w:r>
        <w:rPr>
          <w:rFonts w:hint="eastAsia"/>
        </w:rPr>
        <w:t>或者取出术后。</w:t>
      </w:r>
    </w:p>
    <w:bookmarkEnd w:id="109"/>
    <w:p>
      <w:pPr>
        <w:pStyle w:val="12"/>
        <w:spacing w:before="120" w:after="120"/>
        <w:ind w:left="210" w:right="210"/>
        <w:rPr>
          <w:rFonts w:hint="eastAsia"/>
        </w:rPr>
      </w:pPr>
      <w:r>
        <w:rPr>
          <w:rFonts w:hint="eastAsia"/>
        </w:rPr>
        <w:t>腹部损伤</w:t>
      </w:r>
    </w:p>
    <w:bookmarkEnd w:id="108"/>
    <w:p>
      <w:pPr>
        <w:pStyle w:val="13"/>
        <w:numPr>
          <w:ilvl w:val="1"/>
          <w:numId w:val="57"/>
        </w:numPr>
        <w:tabs>
          <w:tab w:val="left" w:pos="900"/>
          <w:tab w:val="left" w:pos="1130"/>
        </w:tabs>
        <w:ind w:left="1129" w:hanging="590"/>
      </w:pPr>
      <w:bookmarkStart w:id="110" w:name="OLE_LINK92"/>
      <w:r>
        <w:t>肝</w:t>
      </w:r>
      <w:r>
        <w:rPr>
          <w:rFonts w:hint="eastAsia"/>
        </w:rPr>
        <w:t>部分</w:t>
      </w:r>
      <w:r>
        <w:t>切除</w:t>
      </w:r>
      <w:r>
        <w:rPr>
          <w:rFonts w:hint="eastAsia"/>
        </w:rPr>
        <w:t>术后</w:t>
      </w:r>
      <w:r>
        <w:t>；</w:t>
      </w:r>
    </w:p>
    <w:p>
      <w:pPr>
        <w:pStyle w:val="13"/>
        <w:tabs>
          <w:tab w:val="left" w:pos="900"/>
        </w:tabs>
        <w:ind w:hanging="590"/>
      </w:pPr>
      <w:r>
        <w:t>脾部分切除术后；</w:t>
      </w:r>
    </w:p>
    <w:p>
      <w:pPr>
        <w:pStyle w:val="13"/>
        <w:tabs>
          <w:tab w:val="left" w:pos="900"/>
        </w:tabs>
        <w:ind w:hanging="590"/>
      </w:pPr>
      <w:r>
        <w:t>外伤性胰腺假性囊肿术后；</w:t>
      </w:r>
    </w:p>
    <w:p>
      <w:pPr>
        <w:pStyle w:val="13"/>
        <w:tabs>
          <w:tab w:val="left" w:pos="900"/>
        </w:tabs>
        <w:ind w:hanging="590"/>
      </w:pPr>
      <w:r>
        <w:t>一侧肾部分切除术后</w:t>
      </w:r>
      <w:r>
        <w:rPr>
          <w:rFonts w:hint="eastAsia"/>
        </w:rPr>
        <w:t>；</w:t>
      </w:r>
    </w:p>
    <w:p>
      <w:pPr>
        <w:pStyle w:val="13"/>
        <w:tabs>
          <w:tab w:val="left" w:pos="900"/>
        </w:tabs>
        <w:ind w:hanging="590"/>
      </w:pPr>
      <w:r>
        <w:t>胃部分切除术后；</w:t>
      </w:r>
    </w:p>
    <w:p>
      <w:pPr>
        <w:pStyle w:val="13"/>
        <w:tabs>
          <w:tab w:val="left" w:pos="900"/>
        </w:tabs>
        <w:ind w:hanging="590"/>
      </w:pPr>
      <w:r>
        <w:t>肠部分切除术后；</w:t>
      </w:r>
    </w:p>
    <w:p>
      <w:pPr>
        <w:pStyle w:val="13"/>
        <w:tabs>
          <w:tab w:val="left" w:pos="900"/>
        </w:tabs>
        <w:ind w:hanging="590"/>
      </w:pPr>
      <w:r>
        <w:t xml:space="preserve">胆道损伤胆管外引流术后； </w:t>
      </w:r>
    </w:p>
    <w:p>
      <w:pPr>
        <w:pStyle w:val="13"/>
        <w:tabs>
          <w:tab w:val="left" w:pos="900"/>
        </w:tabs>
        <w:ind w:hanging="590"/>
      </w:pPr>
      <w:r>
        <w:t>胆囊切除术后；</w:t>
      </w:r>
    </w:p>
    <w:p>
      <w:pPr>
        <w:pStyle w:val="13"/>
        <w:tabs>
          <w:tab w:val="left" w:pos="900"/>
        </w:tabs>
        <w:ind w:hanging="590"/>
        <w:rPr>
          <w:rFonts w:hint="eastAsia"/>
        </w:rPr>
      </w:pPr>
      <w:r>
        <w:rPr>
          <w:rFonts w:hint="eastAsia"/>
        </w:rPr>
        <w:t>肠梗阻反复发作；</w:t>
      </w:r>
    </w:p>
    <w:p>
      <w:pPr>
        <w:pStyle w:val="13"/>
        <w:tabs>
          <w:tab w:val="left" w:pos="900"/>
        </w:tabs>
        <w:ind w:hanging="590"/>
      </w:pPr>
      <w:r>
        <w:t>膈肌修补术后遗留功能障碍（如膈肌麻痹或者膈疝）</w:t>
      </w:r>
      <w:r>
        <w:rPr>
          <w:rFonts w:hint="eastAsia"/>
        </w:rPr>
        <w:t>。</w:t>
      </w:r>
    </w:p>
    <w:p>
      <w:pPr>
        <w:pStyle w:val="12"/>
        <w:spacing w:before="120" w:after="120"/>
        <w:ind w:left="210" w:right="210"/>
        <w:rPr>
          <w:rFonts w:hint="eastAsia"/>
        </w:rPr>
      </w:pPr>
      <w:r>
        <w:rPr>
          <w:rFonts w:hint="eastAsia"/>
        </w:rPr>
        <w:t>盆部及会阴部损伤</w:t>
      </w:r>
    </w:p>
    <w:p>
      <w:pPr>
        <w:pStyle w:val="13"/>
        <w:numPr>
          <w:ilvl w:val="1"/>
          <w:numId w:val="58"/>
        </w:numPr>
        <w:tabs>
          <w:tab w:val="left" w:pos="900"/>
          <w:tab w:val="left" w:pos="1130"/>
        </w:tabs>
        <w:ind w:hanging="590"/>
        <w:rPr>
          <w:rFonts w:hint="eastAsia"/>
        </w:rPr>
      </w:pPr>
      <w:r>
        <w:t>膀胱部分切除术后</w:t>
      </w:r>
      <w:r>
        <w:rPr>
          <w:rFonts w:hint="eastAsia"/>
        </w:rPr>
        <w:t>；</w:t>
      </w:r>
    </w:p>
    <w:p>
      <w:pPr>
        <w:pStyle w:val="13"/>
        <w:tabs>
          <w:tab w:val="left" w:pos="900"/>
        </w:tabs>
        <w:ind w:hanging="590"/>
        <w:rPr>
          <w:rFonts w:hint="eastAsia"/>
        </w:rPr>
      </w:pPr>
      <w:r>
        <w:t>输尿管狭窄</w:t>
      </w:r>
      <w:r>
        <w:rPr>
          <w:rFonts w:hint="eastAsia"/>
        </w:rPr>
        <w:t>成形术后；</w:t>
      </w:r>
    </w:p>
    <w:p>
      <w:pPr>
        <w:pStyle w:val="13"/>
        <w:tabs>
          <w:tab w:val="left" w:pos="900"/>
        </w:tabs>
        <w:ind w:hanging="590"/>
      </w:pPr>
      <w:r>
        <w:rPr>
          <w:rFonts w:hint="eastAsia"/>
        </w:rPr>
        <w:t>输尿管狭窄</w:t>
      </w:r>
      <w:r>
        <w:t>行腔内扩张术或者</w:t>
      </w:r>
      <w:r>
        <w:rPr>
          <w:rFonts w:hint="eastAsia"/>
        </w:rPr>
        <w:t>腔内支架置入术</w:t>
      </w:r>
      <w:r>
        <w:t>后；</w:t>
      </w:r>
    </w:p>
    <w:bookmarkEnd w:id="110"/>
    <w:p>
      <w:pPr>
        <w:pStyle w:val="13"/>
        <w:tabs>
          <w:tab w:val="left" w:pos="900"/>
        </w:tabs>
        <w:ind w:hanging="590"/>
        <w:rPr>
          <w:rFonts w:hint="eastAsia"/>
        </w:rPr>
      </w:pPr>
      <w:bookmarkStart w:id="111" w:name="OLE_LINK93"/>
      <w:r>
        <w:t>一侧卵巢缺失</w:t>
      </w:r>
      <w:r>
        <w:rPr>
          <w:rFonts w:hint="eastAsia"/>
        </w:rPr>
        <w:t>或者</w:t>
      </w:r>
      <w:r>
        <w:t>丧失功能；</w:t>
      </w:r>
      <w:r>
        <w:rPr>
          <w:rFonts w:hint="eastAsia"/>
        </w:rPr>
        <w:t xml:space="preserve"> </w:t>
      </w:r>
    </w:p>
    <w:p>
      <w:pPr>
        <w:pStyle w:val="13"/>
        <w:tabs>
          <w:tab w:val="left" w:pos="900"/>
        </w:tabs>
        <w:ind w:hanging="590"/>
        <w:rPr>
          <w:rFonts w:hint="eastAsia"/>
        </w:rPr>
      </w:pPr>
      <w:r>
        <w:t>一侧输卵管缺失</w:t>
      </w:r>
      <w:r>
        <w:rPr>
          <w:rFonts w:hint="eastAsia"/>
        </w:rPr>
        <w:t>或者</w:t>
      </w:r>
      <w:r>
        <w:t>丧失功能；</w:t>
      </w:r>
    </w:p>
    <w:p>
      <w:pPr>
        <w:pStyle w:val="13"/>
        <w:tabs>
          <w:tab w:val="left" w:pos="900"/>
        </w:tabs>
        <w:ind w:hanging="590"/>
      </w:pPr>
      <w:r>
        <w:rPr>
          <w:rFonts w:hint="eastAsia"/>
        </w:rPr>
        <w:t>子宫部分切除术后；</w:t>
      </w:r>
    </w:p>
    <w:p>
      <w:pPr>
        <w:pStyle w:val="13"/>
        <w:tabs>
          <w:tab w:val="left" w:pos="900"/>
        </w:tabs>
        <w:ind w:hanging="590"/>
      </w:pPr>
      <w:bookmarkStart w:id="112" w:name="OLE_LINK110"/>
      <w:r>
        <w:t>一侧附睾缺失；</w:t>
      </w:r>
    </w:p>
    <w:p>
      <w:pPr>
        <w:pStyle w:val="13"/>
        <w:tabs>
          <w:tab w:val="left" w:pos="900"/>
        </w:tabs>
        <w:ind w:hanging="590"/>
      </w:pPr>
      <w:r>
        <w:t>一侧输精管损伤</w:t>
      </w:r>
      <w:r>
        <w:rPr>
          <w:rFonts w:hint="eastAsia"/>
        </w:rPr>
        <w:t>难以</w:t>
      </w:r>
      <w:r>
        <w:t>修复；</w:t>
      </w:r>
      <w:bookmarkEnd w:id="112"/>
    </w:p>
    <w:bookmarkEnd w:id="111"/>
    <w:p>
      <w:pPr>
        <w:pStyle w:val="13"/>
        <w:tabs>
          <w:tab w:val="left" w:pos="900"/>
        </w:tabs>
        <w:ind w:hanging="590"/>
        <w:rPr>
          <w:rFonts w:hint="eastAsia"/>
        </w:rPr>
      </w:pPr>
      <w:bookmarkStart w:id="113" w:name="OLE_LINK97"/>
      <w:r>
        <w:rPr>
          <w:rFonts w:hint="eastAsia"/>
        </w:rPr>
        <w:t>尿道狭窄（轻度）；</w:t>
      </w:r>
    </w:p>
    <w:p>
      <w:pPr>
        <w:pStyle w:val="13"/>
        <w:tabs>
          <w:tab w:val="left" w:pos="900"/>
        </w:tabs>
        <w:ind w:hanging="590"/>
        <w:rPr>
          <w:rFonts w:hint="eastAsia"/>
        </w:rPr>
      </w:pPr>
      <w:r>
        <w:rPr>
          <w:rFonts w:hint="eastAsia"/>
        </w:rPr>
        <w:t>肛管或者直肠损伤，排便功能轻度障碍或者肛门失禁（轻度）。</w:t>
      </w:r>
    </w:p>
    <w:p>
      <w:pPr>
        <w:pStyle w:val="12"/>
        <w:spacing w:before="120" w:after="120"/>
        <w:ind w:left="210" w:right="210"/>
        <w:rPr>
          <w:rFonts w:hint="eastAsia"/>
        </w:rPr>
      </w:pPr>
      <w:bookmarkStart w:id="114" w:name="OLE_LINK95"/>
      <w:r>
        <w:rPr>
          <w:rFonts w:hint="eastAsia"/>
        </w:rPr>
        <w:t>脊柱、骨盆及四肢损伤</w:t>
      </w:r>
    </w:p>
    <w:p>
      <w:pPr>
        <w:pStyle w:val="13"/>
        <w:numPr>
          <w:ilvl w:val="1"/>
          <w:numId w:val="59"/>
        </w:numPr>
        <w:tabs>
          <w:tab w:val="left" w:pos="900"/>
          <w:tab w:val="left" w:pos="1130"/>
        </w:tabs>
        <w:ind w:hanging="590"/>
      </w:pPr>
      <w:r>
        <w:rPr>
          <w:rFonts w:hint="eastAsia"/>
        </w:rPr>
        <w:t>一</w:t>
      </w:r>
      <w:r>
        <w:t>椎体粉碎性骨折，椎管内骨性占位；</w:t>
      </w:r>
    </w:p>
    <w:bookmarkEnd w:id="114"/>
    <w:p>
      <w:pPr>
        <w:pStyle w:val="13"/>
        <w:tabs>
          <w:tab w:val="left" w:pos="900"/>
        </w:tabs>
        <w:ind w:hanging="590"/>
        <w:rPr>
          <w:rFonts w:hint="eastAsia"/>
        </w:rPr>
      </w:pPr>
      <w:bookmarkStart w:id="115" w:name="OLE_LINK96"/>
      <w:r>
        <w:rPr>
          <w:rFonts w:hint="eastAsia"/>
        </w:rPr>
        <w:t>一椎体并相应附件骨折，经手术治疗后；二椎体压缩性骨折；</w:t>
      </w:r>
    </w:p>
    <w:p>
      <w:pPr>
        <w:pStyle w:val="13"/>
        <w:tabs>
          <w:tab w:val="left" w:pos="900"/>
        </w:tabs>
        <w:ind w:hanging="590"/>
      </w:pPr>
      <w:r>
        <w:rPr>
          <w:rFonts w:hint="eastAsia"/>
        </w:rPr>
        <w:t>骨盆两处以上骨折或者粉碎性骨折，</w:t>
      </w:r>
      <w:r>
        <w:t>严重畸形愈合；</w:t>
      </w:r>
    </w:p>
    <w:bookmarkEnd w:id="115"/>
    <w:p>
      <w:pPr>
        <w:pStyle w:val="13"/>
        <w:tabs>
          <w:tab w:val="left" w:pos="900"/>
        </w:tabs>
        <w:ind w:hanging="590"/>
      </w:pPr>
      <w:r>
        <w:rPr>
          <w:rFonts w:hint="eastAsia"/>
          <w:szCs w:val="21"/>
        </w:rPr>
        <w:t>青少年四肢长骨骨骺</w:t>
      </w:r>
      <w:r>
        <w:t>粉碎性</w:t>
      </w:r>
      <w:r>
        <w:rPr>
          <w:rFonts w:hint="eastAsia"/>
        </w:rPr>
        <w:t>或者压缩性</w:t>
      </w:r>
      <w:r>
        <w:t>骨折；</w:t>
      </w:r>
    </w:p>
    <w:p>
      <w:pPr>
        <w:pStyle w:val="13"/>
        <w:tabs>
          <w:tab w:val="left" w:pos="900"/>
        </w:tabs>
        <w:ind w:hanging="590"/>
        <w:rPr>
          <w:rFonts w:hint="eastAsia"/>
        </w:rPr>
      </w:pPr>
      <w:r>
        <w:t>四肢任一大关节行关节</w:t>
      </w:r>
      <w:r>
        <w:rPr>
          <w:rFonts w:hint="eastAsia"/>
        </w:rPr>
        <w:t>假体</w:t>
      </w:r>
      <w:r>
        <w:t>置换术后；</w:t>
      </w:r>
    </w:p>
    <w:p>
      <w:pPr>
        <w:pStyle w:val="13"/>
        <w:tabs>
          <w:tab w:val="left" w:pos="900"/>
        </w:tabs>
        <w:ind w:hanging="590"/>
        <w:rPr>
          <w:rFonts w:hint="eastAsia"/>
        </w:rPr>
      </w:pPr>
      <w:r>
        <w:rPr>
          <w:rFonts w:hint="eastAsia"/>
        </w:rPr>
        <w:t>双上肢前臂旋转功能丧失均达75</w:t>
      </w:r>
      <w:r>
        <w:t>%</w:t>
      </w:r>
      <w:r>
        <w:rPr>
          <w:rFonts w:hint="eastAsia"/>
        </w:rPr>
        <w:t>；</w:t>
      </w:r>
    </w:p>
    <w:p>
      <w:pPr>
        <w:pStyle w:val="13"/>
        <w:tabs>
          <w:tab w:val="left" w:pos="900"/>
        </w:tabs>
        <w:ind w:hanging="590"/>
        <w:rPr>
          <w:rFonts w:hint="eastAsia"/>
        </w:rPr>
      </w:pPr>
      <w:r>
        <w:rPr>
          <w:rFonts w:hint="eastAsia"/>
        </w:rPr>
        <w:t>双上肢长度相差6.0cm以上；</w:t>
      </w:r>
    </w:p>
    <w:p>
      <w:pPr>
        <w:pStyle w:val="13"/>
        <w:tabs>
          <w:tab w:val="left" w:pos="900"/>
        </w:tabs>
        <w:ind w:hanging="590"/>
      </w:pPr>
      <w:r>
        <w:t>双下肢长度相差</w:t>
      </w:r>
      <w:r>
        <w:rPr>
          <w:rFonts w:hint="eastAsia"/>
        </w:rPr>
        <w:t>4.0</w:t>
      </w:r>
      <w:r>
        <w:t>cm</w:t>
      </w:r>
      <w:r>
        <w:rPr>
          <w:rFonts w:hint="eastAsia"/>
        </w:rPr>
        <w:t>以上</w:t>
      </w:r>
      <w:r>
        <w:t>；</w:t>
      </w:r>
    </w:p>
    <w:p>
      <w:pPr>
        <w:pStyle w:val="13"/>
        <w:tabs>
          <w:tab w:val="left" w:pos="900"/>
        </w:tabs>
        <w:ind w:left="900" w:hanging="360"/>
        <w:rPr>
          <w:rFonts w:hint="eastAsia"/>
        </w:rPr>
      </w:pPr>
      <w:r>
        <w:rPr>
          <w:rFonts w:hint="eastAsia"/>
        </w:rPr>
        <w:t>四肢任</w:t>
      </w:r>
      <w:r>
        <w:t>一</w:t>
      </w:r>
      <w:r>
        <w:rPr>
          <w:rFonts w:hint="eastAsia"/>
        </w:rPr>
        <w:t>大关节（踝关节除外）功能丧失50%以上；</w:t>
      </w:r>
    </w:p>
    <w:p>
      <w:pPr>
        <w:pStyle w:val="13"/>
        <w:tabs>
          <w:tab w:val="left" w:pos="900"/>
        </w:tabs>
        <w:ind w:left="900" w:hanging="360"/>
        <w:rPr>
          <w:rFonts w:hint="eastAsia"/>
        </w:rPr>
      </w:pPr>
      <w:r>
        <w:rPr>
          <w:rFonts w:hint="eastAsia"/>
        </w:rPr>
        <w:t>一踝关节功能丧失75%以上；</w:t>
      </w:r>
    </w:p>
    <w:p>
      <w:pPr>
        <w:pStyle w:val="13"/>
        <w:tabs>
          <w:tab w:val="left" w:pos="900"/>
        </w:tabs>
        <w:ind w:hanging="590"/>
        <w:rPr>
          <w:rFonts w:hint="eastAsia"/>
        </w:rPr>
      </w:pPr>
      <w:r>
        <w:rPr>
          <w:rFonts w:hint="eastAsia"/>
        </w:rPr>
        <w:t>一肢体各大关节功能丧失均达25%；</w:t>
      </w:r>
    </w:p>
    <w:bookmarkEnd w:id="113"/>
    <w:p>
      <w:pPr>
        <w:pStyle w:val="13"/>
        <w:tabs>
          <w:tab w:val="left" w:pos="900"/>
        </w:tabs>
        <w:ind w:hanging="590"/>
        <w:rPr>
          <w:rFonts w:hint="eastAsia"/>
        </w:rPr>
      </w:pPr>
      <w:bookmarkStart w:id="116" w:name="OLE_LINK98"/>
      <w:r>
        <w:rPr>
          <w:rFonts w:hint="eastAsia"/>
        </w:rPr>
        <w:t>双足拇趾功能丧失均达75%；一足5趾功能均完全丧失；</w:t>
      </w:r>
    </w:p>
    <w:p>
      <w:pPr>
        <w:pStyle w:val="13"/>
        <w:tabs>
          <w:tab w:val="left" w:pos="900"/>
        </w:tabs>
        <w:ind w:hanging="590"/>
        <w:rPr>
          <w:rFonts w:hint="eastAsia"/>
        </w:rPr>
      </w:pPr>
      <w:r>
        <w:t>双足跟骨</w:t>
      </w:r>
      <w:r>
        <w:rPr>
          <w:rFonts w:hint="eastAsia"/>
        </w:rPr>
        <w:t>粉碎性骨折畸形愈合</w:t>
      </w:r>
      <w:r>
        <w:t>；</w:t>
      </w:r>
    </w:p>
    <w:p>
      <w:pPr>
        <w:pStyle w:val="13"/>
        <w:tabs>
          <w:tab w:val="left" w:pos="900"/>
        </w:tabs>
        <w:ind w:hanging="590"/>
        <w:rPr>
          <w:rFonts w:hint="eastAsia"/>
        </w:rPr>
      </w:pPr>
      <w:r>
        <w:t>双足足弓结构部分破坏；一足足弓结构完全破坏</w:t>
      </w:r>
      <w:r>
        <w:rPr>
          <w:rFonts w:hint="eastAsia"/>
        </w:rPr>
        <w:t>；</w:t>
      </w:r>
    </w:p>
    <w:p>
      <w:pPr>
        <w:pStyle w:val="13"/>
        <w:tabs>
          <w:tab w:val="left" w:pos="900"/>
        </w:tabs>
        <w:ind w:hanging="590"/>
        <w:rPr>
          <w:rFonts w:hint="eastAsia"/>
        </w:rPr>
      </w:pPr>
      <w:r>
        <w:rPr>
          <w:rFonts w:hint="eastAsia"/>
        </w:rPr>
        <w:t>手或者足功能丧失分值</w:t>
      </w:r>
      <w:r>
        <w:rPr>
          <w:rFonts w:hint="eastAsia" w:hAnsi="宋体"/>
        </w:rPr>
        <w:t>≥</w:t>
      </w:r>
      <w:r>
        <w:rPr>
          <w:rFonts w:hint="eastAsia"/>
        </w:rPr>
        <w:t>25分。</w:t>
      </w:r>
    </w:p>
    <w:bookmarkEnd w:id="116"/>
    <w:p>
      <w:pPr>
        <w:pStyle w:val="12"/>
        <w:spacing w:before="120" w:after="120"/>
        <w:ind w:left="210" w:right="210"/>
        <w:rPr>
          <w:rFonts w:hint="eastAsia"/>
        </w:rPr>
      </w:pPr>
      <w:bookmarkStart w:id="117" w:name="OLE_LINK100"/>
      <w:r>
        <w:rPr>
          <w:rFonts w:hint="eastAsia"/>
        </w:rPr>
        <w:t>体表及其他损伤</w:t>
      </w:r>
    </w:p>
    <w:p>
      <w:pPr>
        <w:pStyle w:val="13"/>
        <w:numPr>
          <w:ilvl w:val="1"/>
          <w:numId w:val="60"/>
        </w:numPr>
        <w:tabs>
          <w:tab w:val="left" w:pos="900"/>
          <w:tab w:val="left" w:pos="1130"/>
        </w:tabs>
        <w:ind w:hanging="563"/>
      </w:pPr>
      <w:r>
        <w:t>皮肤瘢痕形成达体表面积10％</w:t>
      </w:r>
      <w:r>
        <w:rPr>
          <w:rFonts w:hint="eastAsia"/>
        </w:rPr>
        <w:t>。</w:t>
      </w:r>
    </w:p>
    <w:bookmarkEnd w:id="117"/>
    <w:p>
      <w:pPr>
        <w:pStyle w:val="11"/>
        <w:spacing w:before="120" w:after="120"/>
        <w:ind w:left="210" w:right="210"/>
      </w:pPr>
      <w:bookmarkStart w:id="118" w:name="_Toc384919729"/>
      <w:bookmarkStart w:id="119" w:name="_Toc386380669"/>
      <w:r>
        <w:t>十级</w:t>
      </w:r>
      <w:bookmarkEnd w:id="118"/>
      <w:bookmarkEnd w:id="119"/>
    </w:p>
    <w:p>
      <w:pPr>
        <w:pStyle w:val="12"/>
        <w:spacing w:before="120" w:after="120"/>
        <w:ind w:left="210" w:right="210"/>
        <w:rPr>
          <w:rFonts w:hint="eastAsia"/>
        </w:rPr>
      </w:pPr>
      <w:bookmarkStart w:id="120" w:name="OLE_LINK101"/>
      <w:bookmarkStart w:id="121" w:name="OLE_LINK102"/>
      <w:r>
        <w:rPr>
          <w:rFonts w:hint="eastAsia"/>
        </w:rPr>
        <w:t>颅脑、脊髓及周围神经损伤</w:t>
      </w:r>
    </w:p>
    <w:p>
      <w:pPr>
        <w:pStyle w:val="13"/>
        <w:numPr>
          <w:ilvl w:val="1"/>
          <w:numId w:val="61"/>
        </w:numPr>
        <w:tabs>
          <w:tab w:val="left" w:pos="900"/>
          <w:tab w:val="left" w:pos="1130"/>
        </w:tabs>
        <w:ind w:hanging="590"/>
        <w:rPr>
          <w:rFonts w:hAnsi="宋体"/>
        </w:rPr>
      </w:pPr>
      <w:r>
        <w:t>精神障碍或者轻度智能减退，日常生活有关的活动能力</w:t>
      </w:r>
      <w:r>
        <w:rPr>
          <w:rFonts w:hint="eastAsia"/>
        </w:rPr>
        <w:t>轻度</w:t>
      </w:r>
      <w:r>
        <w:t>受限；</w:t>
      </w:r>
    </w:p>
    <w:p>
      <w:pPr>
        <w:pStyle w:val="13"/>
        <w:tabs>
          <w:tab w:val="left" w:pos="900"/>
        </w:tabs>
        <w:ind w:hanging="590"/>
        <w:rPr>
          <w:rFonts w:hint="eastAsia"/>
        </w:rPr>
      </w:pPr>
      <w:r>
        <w:rPr>
          <w:rFonts w:hint="eastAsia"/>
        </w:rPr>
        <w:t>颅脑损伤后遗脑软化灶形成，伴有神经系统症状或者体征；</w:t>
      </w:r>
    </w:p>
    <w:p>
      <w:pPr>
        <w:pStyle w:val="13"/>
        <w:tabs>
          <w:tab w:val="left" w:pos="900"/>
        </w:tabs>
        <w:ind w:hanging="590"/>
      </w:pPr>
      <w:r>
        <w:t>一侧部分</w:t>
      </w:r>
      <w:r>
        <w:rPr>
          <w:rFonts w:hint="eastAsia"/>
        </w:rPr>
        <w:t>面瘫；</w:t>
      </w:r>
    </w:p>
    <w:p>
      <w:pPr>
        <w:pStyle w:val="13"/>
        <w:tabs>
          <w:tab w:val="left" w:pos="900"/>
        </w:tabs>
        <w:ind w:hanging="590"/>
        <w:rPr>
          <w:rFonts w:hint="eastAsia"/>
        </w:rPr>
      </w:pPr>
      <w:r>
        <w:t>嗅觉功能</w:t>
      </w:r>
      <w:r>
        <w:rPr>
          <w:rFonts w:hint="eastAsia"/>
        </w:rPr>
        <w:t>完全丧失</w:t>
      </w:r>
      <w:r>
        <w:t>；</w:t>
      </w:r>
    </w:p>
    <w:p>
      <w:pPr>
        <w:pStyle w:val="13"/>
        <w:tabs>
          <w:tab w:val="left" w:pos="900"/>
        </w:tabs>
        <w:ind w:hanging="590"/>
      </w:pPr>
      <w:r>
        <w:t>尿崩症（轻度）；</w:t>
      </w:r>
    </w:p>
    <w:p>
      <w:pPr>
        <w:pStyle w:val="13"/>
        <w:tabs>
          <w:tab w:val="left" w:pos="900"/>
        </w:tabs>
        <w:ind w:hanging="590"/>
      </w:pPr>
      <w:r>
        <w:rPr>
          <w:rFonts w:hint="eastAsia"/>
        </w:rPr>
        <w:t>四肢重要神</w:t>
      </w:r>
      <w:r>
        <w:t>经损伤</w:t>
      </w:r>
      <w:r>
        <w:rPr>
          <w:rFonts w:hint="eastAsia"/>
        </w:rPr>
        <w:t>，遗留相应肌群肌力4级以下；</w:t>
      </w:r>
    </w:p>
    <w:p>
      <w:pPr>
        <w:pStyle w:val="13"/>
        <w:tabs>
          <w:tab w:val="left" w:pos="900"/>
        </w:tabs>
        <w:ind w:hanging="590"/>
        <w:rPr>
          <w:rFonts w:hint="eastAsia"/>
          <w:u w:val="single"/>
        </w:rPr>
      </w:pPr>
      <w:r>
        <w:t>影响阴茎勃起功能</w:t>
      </w:r>
      <w:r>
        <w:rPr>
          <w:rFonts w:hint="eastAsia"/>
        </w:rPr>
        <w:t>；</w:t>
      </w:r>
    </w:p>
    <w:p>
      <w:pPr>
        <w:pStyle w:val="13"/>
        <w:tabs>
          <w:tab w:val="left" w:pos="900"/>
        </w:tabs>
        <w:ind w:hanging="590"/>
      </w:pPr>
      <w:r>
        <w:rPr>
          <w:rFonts w:hint="eastAsia"/>
        </w:rPr>
        <w:t>开颅术后。</w:t>
      </w:r>
    </w:p>
    <w:p>
      <w:pPr>
        <w:pStyle w:val="12"/>
        <w:spacing w:before="120" w:after="120"/>
        <w:ind w:left="210" w:right="210"/>
        <w:rPr>
          <w:rFonts w:hint="eastAsia"/>
        </w:rPr>
      </w:pPr>
      <w:r>
        <w:rPr>
          <w:rFonts w:hint="eastAsia"/>
        </w:rPr>
        <w:t>头面部损伤</w:t>
      </w:r>
    </w:p>
    <w:p>
      <w:pPr>
        <w:pStyle w:val="13"/>
        <w:numPr>
          <w:ilvl w:val="1"/>
          <w:numId w:val="62"/>
        </w:numPr>
        <w:tabs>
          <w:tab w:val="left" w:pos="900"/>
          <w:tab w:val="left" w:pos="1130"/>
        </w:tabs>
        <w:ind w:hanging="590"/>
        <w:rPr>
          <w:rFonts w:hint="eastAsia"/>
          <w:szCs w:val="21"/>
        </w:rPr>
      </w:pPr>
      <w:r>
        <w:rPr>
          <w:rFonts w:hint="eastAsia"/>
          <w:szCs w:val="21"/>
        </w:rPr>
        <w:t>面颅骨部分缺损或者畸形，影响面容；</w:t>
      </w:r>
    </w:p>
    <w:bookmarkEnd w:id="120"/>
    <w:p>
      <w:pPr>
        <w:pStyle w:val="13"/>
        <w:tabs>
          <w:tab w:val="left" w:pos="900"/>
        </w:tabs>
        <w:ind w:hanging="590"/>
      </w:pPr>
      <w:r>
        <w:t>头皮瘢痕形成或者无毛发，面积达40</w:t>
      </w:r>
      <w:r>
        <w:rPr>
          <w:rFonts w:hint="eastAsia"/>
        </w:rPr>
        <w:t>.0</w:t>
      </w:r>
      <w:r>
        <w:t>cm</w:t>
      </w:r>
      <w:r>
        <w:rPr>
          <w:vertAlign w:val="superscript"/>
        </w:rPr>
        <w:t>2</w:t>
      </w:r>
      <w:r>
        <w:t>；</w:t>
      </w:r>
    </w:p>
    <w:bookmarkEnd w:id="121"/>
    <w:p>
      <w:pPr>
        <w:pStyle w:val="13"/>
        <w:tabs>
          <w:tab w:val="left" w:pos="900"/>
        </w:tabs>
        <w:ind w:left="900" w:hanging="360"/>
      </w:pPr>
      <w:bookmarkStart w:id="122" w:name="OLE_LINK103"/>
      <w:r>
        <w:t>面部条状瘢痕</w:t>
      </w:r>
      <w:r>
        <w:rPr>
          <w:rFonts w:hint="eastAsia"/>
        </w:rPr>
        <w:t>形成</w:t>
      </w:r>
      <w:r>
        <w:t>（</w:t>
      </w:r>
      <w:r>
        <w:rPr>
          <w:rFonts w:hint="eastAsia"/>
        </w:rPr>
        <w:t>宽度达</w:t>
      </w:r>
      <w:r>
        <w:t>0.2cm），累计长度</w:t>
      </w:r>
      <w:r>
        <w:rPr>
          <w:rFonts w:hint="eastAsia"/>
        </w:rPr>
        <w:t>达</w:t>
      </w:r>
      <w:r>
        <w:t>6</w:t>
      </w:r>
      <w:r>
        <w:rPr>
          <w:rFonts w:hint="eastAsia"/>
        </w:rPr>
        <w:t>.0</w:t>
      </w:r>
      <w:r>
        <w:t>cm，其中</w:t>
      </w:r>
      <w:r>
        <w:rPr>
          <w:rFonts w:hint="eastAsia"/>
        </w:rPr>
        <w:t>至少</w:t>
      </w:r>
      <w:r>
        <w:t>3</w:t>
      </w:r>
      <w:r>
        <w:rPr>
          <w:rFonts w:hint="eastAsia"/>
        </w:rPr>
        <w:t>.0</w:t>
      </w:r>
      <w:r>
        <w:t>cm位于面部中心区；</w:t>
      </w:r>
    </w:p>
    <w:p>
      <w:pPr>
        <w:pStyle w:val="13"/>
        <w:tabs>
          <w:tab w:val="left" w:pos="900"/>
        </w:tabs>
        <w:ind w:hanging="590"/>
        <w:rPr>
          <w:rFonts w:hint="eastAsia"/>
        </w:rPr>
      </w:pPr>
      <w:r>
        <w:rPr>
          <w:rFonts w:hint="eastAsia"/>
        </w:rPr>
        <w:t>面部条状瘢痕形成，累计长度达10.0cm；</w:t>
      </w:r>
    </w:p>
    <w:p>
      <w:pPr>
        <w:pStyle w:val="13"/>
        <w:tabs>
          <w:tab w:val="left" w:pos="900"/>
        </w:tabs>
        <w:ind w:hanging="590"/>
      </w:pPr>
      <w:r>
        <w:t>面部块状瘢痕</w:t>
      </w:r>
      <w:r>
        <w:rPr>
          <w:rFonts w:hint="eastAsia"/>
        </w:rPr>
        <w:t>形成</w:t>
      </w:r>
      <w:r>
        <w:t>，单块面积</w:t>
      </w:r>
      <w:r>
        <w:rPr>
          <w:rFonts w:hint="eastAsia"/>
        </w:rPr>
        <w:t>达</w:t>
      </w:r>
      <w:r>
        <w:t>3</w:t>
      </w:r>
      <w:r>
        <w:rPr>
          <w:rFonts w:hint="eastAsia"/>
        </w:rPr>
        <w:t>.0</w:t>
      </w:r>
      <w:r>
        <w:t>cm</w:t>
      </w:r>
      <w:r>
        <w:rPr>
          <w:vertAlign w:val="superscript"/>
        </w:rPr>
        <w:t>2</w:t>
      </w:r>
      <w:r>
        <w:t>，或者多块累计面积</w:t>
      </w:r>
      <w:r>
        <w:rPr>
          <w:rFonts w:hint="eastAsia"/>
        </w:rPr>
        <w:t>达</w:t>
      </w:r>
      <w:r>
        <w:t>5</w:t>
      </w:r>
      <w:r>
        <w:rPr>
          <w:rFonts w:hint="eastAsia"/>
        </w:rPr>
        <w:t>.0</w:t>
      </w:r>
      <w:r>
        <w:t>cm</w:t>
      </w:r>
      <w:r>
        <w:rPr>
          <w:vertAlign w:val="superscript"/>
        </w:rPr>
        <w:t>2</w:t>
      </w:r>
      <w:r>
        <w:t>；</w:t>
      </w:r>
    </w:p>
    <w:p>
      <w:pPr>
        <w:pStyle w:val="13"/>
        <w:tabs>
          <w:tab w:val="left" w:pos="900"/>
        </w:tabs>
        <w:ind w:hanging="590"/>
        <w:rPr>
          <w:rFonts w:hint="eastAsia"/>
        </w:rPr>
      </w:pPr>
      <w:r>
        <w:t>面部片状细小瘢痕</w:t>
      </w:r>
      <w:r>
        <w:rPr>
          <w:rFonts w:hint="eastAsia"/>
        </w:rPr>
        <w:t>形成或者</w:t>
      </w:r>
      <w:r>
        <w:t>色素</w:t>
      </w:r>
      <w:r>
        <w:rPr>
          <w:rFonts w:hint="eastAsia"/>
        </w:rPr>
        <w:t>异常</w:t>
      </w:r>
      <w:r>
        <w:t>，累计</w:t>
      </w:r>
      <w:r>
        <w:rPr>
          <w:rFonts w:hint="eastAsia"/>
        </w:rPr>
        <w:t>面积</w:t>
      </w:r>
      <w:r>
        <w:t>达10</w:t>
      </w:r>
      <w:r>
        <w:rPr>
          <w:rFonts w:hint="eastAsia"/>
        </w:rPr>
        <w:t>.0</w:t>
      </w:r>
      <w:r>
        <w:t>cm</w:t>
      </w:r>
      <w:r>
        <w:rPr>
          <w:vertAlign w:val="superscript"/>
        </w:rPr>
        <w:t>2</w:t>
      </w:r>
      <w:r>
        <w:t>；</w:t>
      </w:r>
    </w:p>
    <w:p>
      <w:pPr>
        <w:pStyle w:val="13"/>
        <w:tabs>
          <w:tab w:val="left" w:pos="900"/>
        </w:tabs>
        <w:ind w:hanging="590"/>
      </w:pPr>
      <w:r>
        <w:t>一侧眼睑下垂，遮盖部分瞳孔；一侧眼睑</w:t>
      </w:r>
      <w:r>
        <w:rPr>
          <w:rFonts w:hint="eastAsia"/>
        </w:rPr>
        <w:t>轻度</w:t>
      </w:r>
      <w:r>
        <w:t>畸形</w:t>
      </w:r>
      <w:r>
        <w:rPr>
          <w:rFonts w:hint="eastAsia"/>
        </w:rPr>
        <w:t>；</w:t>
      </w:r>
      <w:r>
        <w:t>一侧睑球粘连</w:t>
      </w:r>
      <w:r>
        <w:rPr>
          <w:rFonts w:hint="eastAsia"/>
        </w:rPr>
        <w:t>影响眼球运动</w:t>
      </w:r>
      <w:r>
        <w:t>；</w:t>
      </w:r>
    </w:p>
    <w:p>
      <w:pPr>
        <w:pStyle w:val="13"/>
        <w:tabs>
          <w:tab w:val="left" w:pos="900"/>
        </w:tabs>
        <w:ind w:hanging="590"/>
      </w:pPr>
      <w:r>
        <w:rPr>
          <w:rFonts w:hint="eastAsia"/>
        </w:rPr>
        <w:t>一眼</w:t>
      </w:r>
      <w:r>
        <w:t>泪器损伤后遗溢泪；</w:t>
      </w:r>
    </w:p>
    <w:p>
      <w:pPr>
        <w:pStyle w:val="13"/>
        <w:tabs>
          <w:tab w:val="left" w:pos="900"/>
        </w:tabs>
        <w:ind w:hanging="590"/>
      </w:pPr>
      <w:r>
        <w:rPr>
          <w:rFonts w:hint="eastAsia"/>
        </w:rPr>
        <w:t>一</w:t>
      </w:r>
      <w:r>
        <w:t>眼眶骨折</w:t>
      </w:r>
      <w:r>
        <w:rPr>
          <w:rFonts w:hint="eastAsia"/>
        </w:rPr>
        <w:t>后遗</w:t>
      </w:r>
      <w:r>
        <w:t>眼球内陷2mm以上；</w:t>
      </w:r>
    </w:p>
    <w:p>
      <w:pPr>
        <w:pStyle w:val="13"/>
        <w:tabs>
          <w:tab w:val="left" w:pos="900"/>
        </w:tabs>
        <w:ind w:hanging="590"/>
      </w:pPr>
      <w:r>
        <w:t>复视</w:t>
      </w:r>
      <w:r>
        <w:rPr>
          <w:rFonts w:hint="eastAsia"/>
        </w:rPr>
        <w:t>或者</w:t>
      </w:r>
      <w:r>
        <w:t>斜视；</w:t>
      </w:r>
    </w:p>
    <w:p>
      <w:pPr>
        <w:pStyle w:val="13"/>
        <w:tabs>
          <w:tab w:val="left" w:pos="900"/>
        </w:tabs>
        <w:ind w:hanging="590"/>
        <w:rPr>
          <w:rFonts w:hint="eastAsia"/>
        </w:rPr>
      </w:pPr>
      <w:r>
        <w:t>一眼角膜斑翳或者血管翳，累及瞳孔区；一眼角膜移植术后；</w:t>
      </w:r>
    </w:p>
    <w:p>
      <w:pPr>
        <w:pStyle w:val="13"/>
        <w:tabs>
          <w:tab w:val="left" w:pos="900"/>
        </w:tabs>
        <w:ind w:hanging="590"/>
        <w:rPr>
          <w:rFonts w:hint="eastAsia"/>
        </w:rPr>
      </w:pPr>
      <w:r>
        <w:rPr>
          <w:rFonts w:hint="eastAsia"/>
        </w:rPr>
        <w:t>一眼外伤性青光眼，经手术治疗</w:t>
      </w:r>
      <w:r>
        <w:t>；</w:t>
      </w:r>
      <w:r>
        <w:rPr>
          <w:rFonts w:hint="eastAsia"/>
        </w:rPr>
        <w:t>一眼外伤性低眼压；</w:t>
      </w:r>
    </w:p>
    <w:p>
      <w:pPr>
        <w:pStyle w:val="13"/>
        <w:tabs>
          <w:tab w:val="left" w:pos="900"/>
        </w:tabs>
        <w:ind w:hanging="590"/>
      </w:pPr>
      <w:r>
        <w:rPr>
          <w:rFonts w:hint="eastAsia"/>
        </w:rPr>
        <w:t>一眼</w:t>
      </w:r>
      <w:r>
        <w:t>外伤后无虹膜；</w:t>
      </w:r>
    </w:p>
    <w:p>
      <w:pPr>
        <w:pStyle w:val="13"/>
        <w:tabs>
          <w:tab w:val="left" w:pos="900"/>
        </w:tabs>
        <w:ind w:hanging="590"/>
      </w:pPr>
      <w:r>
        <w:t>一眼外伤性白内障；一眼</w:t>
      </w:r>
      <w:r>
        <w:rPr>
          <w:rFonts w:hint="eastAsia"/>
        </w:rPr>
        <w:t>无晶体或者人工晶体植入术后</w:t>
      </w:r>
      <w:r>
        <w:t>；</w:t>
      </w:r>
    </w:p>
    <w:p>
      <w:pPr>
        <w:pStyle w:val="13"/>
        <w:tabs>
          <w:tab w:val="left" w:pos="900"/>
        </w:tabs>
        <w:ind w:hanging="590"/>
        <w:rPr>
          <w:rFonts w:hint="eastAsia"/>
        </w:rPr>
      </w:pPr>
      <w:r>
        <w:t>一眼中度视力损害</w:t>
      </w:r>
      <w:r>
        <w:rPr>
          <w:rFonts w:hint="eastAsia"/>
        </w:rPr>
        <w:t>；</w:t>
      </w:r>
    </w:p>
    <w:p>
      <w:pPr>
        <w:pStyle w:val="13"/>
        <w:tabs>
          <w:tab w:val="left" w:pos="900"/>
        </w:tabs>
        <w:ind w:hanging="590"/>
      </w:pPr>
      <w:r>
        <w:t>双眼视力</w:t>
      </w:r>
      <w:r>
        <w:rPr>
          <w:rFonts w:hint="eastAsia" w:hAnsi="宋体"/>
        </w:rPr>
        <w:t>≤</w:t>
      </w:r>
      <w:r>
        <w:t>0.5；</w:t>
      </w:r>
    </w:p>
    <w:p>
      <w:pPr>
        <w:pStyle w:val="13"/>
        <w:tabs>
          <w:tab w:val="left" w:pos="900"/>
        </w:tabs>
        <w:ind w:hanging="590"/>
      </w:pPr>
      <w:r>
        <w:t>一眼视野中度缺损，视野有效值</w:t>
      </w:r>
      <w:r>
        <w:rPr>
          <w:rFonts w:hint="eastAsia" w:hAnsi="宋体"/>
        </w:rPr>
        <w:t>≤</w:t>
      </w:r>
      <w:r>
        <w:t>48%（直径</w:t>
      </w:r>
      <w:r>
        <w:rPr>
          <w:rFonts w:hint="eastAsia" w:hAnsi="宋体"/>
        </w:rPr>
        <w:t>≤</w:t>
      </w:r>
      <w:r>
        <w:t>60°）；</w:t>
      </w:r>
    </w:p>
    <w:p>
      <w:pPr>
        <w:pStyle w:val="13"/>
        <w:tabs>
          <w:tab w:val="left" w:pos="900"/>
        </w:tabs>
        <w:ind w:hanging="590"/>
        <w:rPr>
          <w:rFonts w:hint="eastAsia"/>
        </w:rPr>
      </w:pPr>
      <w:r>
        <w:t>一耳听力障碍</w:t>
      </w:r>
      <w:r>
        <w:rPr>
          <w:rFonts w:hint="eastAsia" w:hAnsi="宋体"/>
        </w:rPr>
        <w:t>≥</w:t>
      </w:r>
      <w:r>
        <w:rPr>
          <w:rFonts w:hint="eastAsia"/>
        </w:rPr>
        <w:t>6</w:t>
      </w:r>
      <w:r>
        <w:t>1dB HL；</w:t>
      </w:r>
    </w:p>
    <w:p>
      <w:pPr>
        <w:pStyle w:val="13"/>
        <w:tabs>
          <w:tab w:val="left" w:pos="900"/>
        </w:tabs>
        <w:ind w:hanging="590"/>
        <w:rPr>
          <w:rFonts w:hint="eastAsia"/>
        </w:rPr>
      </w:pPr>
      <w:r>
        <w:rPr>
          <w:rFonts w:hint="eastAsia"/>
        </w:rPr>
        <w:t>双耳</w:t>
      </w:r>
      <w:r>
        <w:t>听力障碍</w:t>
      </w:r>
      <w:r>
        <w:rPr>
          <w:rFonts w:hint="eastAsia"/>
        </w:rPr>
        <w:t>≥4</w:t>
      </w:r>
      <w:r>
        <w:t>1dB HL；</w:t>
      </w:r>
    </w:p>
    <w:p>
      <w:pPr>
        <w:pStyle w:val="13"/>
        <w:tabs>
          <w:tab w:val="left" w:pos="900"/>
        </w:tabs>
        <w:ind w:hanging="590"/>
      </w:pPr>
      <w:r>
        <w:t>一侧前庭平衡功能丧失，伴听力减退；</w:t>
      </w:r>
    </w:p>
    <w:p>
      <w:pPr>
        <w:pStyle w:val="13"/>
        <w:tabs>
          <w:tab w:val="left" w:pos="900"/>
        </w:tabs>
        <w:ind w:hanging="590"/>
      </w:pPr>
      <w:r>
        <w:t>耳廓缺损或者畸形</w:t>
      </w:r>
      <w:r>
        <w:rPr>
          <w:rFonts w:hint="eastAsia"/>
        </w:rPr>
        <w:t>，</w:t>
      </w:r>
      <w:r>
        <w:t>累计</w:t>
      </w:r>
      <w:r>
        <w:rPr>
          <w:rFonts w:hint="eastAsia"/>
        </w:rPr>
        <w:t>相当于</w:t>
      </w:r>
      <w:r>
        <w:t>一侧耳廓</w:t>
      </w:r>
      <w:r>
        <w:rPr>
          <w:rFonts w:hint="eastAsia"/>
        </w:rPr>
        <w:t>的30%</w:t>
      </w:r>
      <w:r>
        <w:t>；</w:t>
      </w:r>
    </w:p>
    <w:p>
      <w:pPr>
        <w:pStyle w:val="13"/>
        <w:tabs>
          <w:tab w:val="left" w:pos="900"/>
        </w:tabs>
        <w:ind w:hanging="590"/>
        <w:rPr>
          <w:rFonts w:hint="eastAsia"/>
        </w:rPr>
      </w:pPr>
      <w:r>
        <w:t>鼻尖或者鼻翼部分缺损深达软骨；</w:t>
      </w:r>
    </w:p>
    <w:p>
      <w:pPr>
        <w:pStyle w:val="13"/>
        <w:tabs>
          <w:tab w:val="left" w:pos="900"/>
        </w:tabs>
        <w:ind w:hanging="590"/>
        <w:rPr>
          <w:rFonts w:hint="eastAsia"/>
        </w:rPr>
      </w:pPr>
      <w:r>
        <w:rPr>
          <w:rFonts w:hint="eastAsia"/>
        </w:rPr>
        <w:t>唇外翻或者小口畸形；</w:t>
      </w:r>
    </w:p>
    <w:p>
      <w:pPr>
        <w:pStyle w:val="13"/>
        <w:tabs>
          <w:tab w:val="left" w:pos="900"/>
        </w:tabs>
        <w:ind w:hanging="590"/>
      </w:pPr>
      <w:r>
        <w:t>唇缺损或者畸形</w:t>
      </w:r>
      <w:r>
        <w:rPr>
          <w:rFonts w:hint="eastAsia"/>
        </w:rPr>
        <w:t>，致露齿</w:t>
      </w:r>
      <w:r>
        <w:t>；</w:t>
      </w:r>
    </w:p>
    <w:p>
      <w:pPr>
        <w:pStyle w:val="13"/>
        <w:tabs>
          <w:tab w:val="left" w:pos="900"/>
        </w:tabs>
        <w:ind w:hanging="590"/>
        <w:rPr>
          <w:rFonts w:hint="eastAsia"/>
        </w:rPr>
      </w:pPr>
      <w:r>
        <w:rPr>
          <w:rFonts w:hint="eastAsia"/>
        </w:rPr>
        <w:t>舌部分缺损；</w:t>
      </w:r>
    </w:p>
    <w:p>
      <w:pPr>
        <w:pStyle w:val="13"/>
        <w:tabs>
          <w:tab w:val="left" w:pos="900"/>
        </w:tabs>
        <w:ind w:hanging="590"/>
      </w:pPr>
      <w:r>
        <w:t>牙齿缺失或者折断</w:t>
      </w:r>
      <w:r>
        <w:rPr>
          <w:rFonts w:hint="eastAsia"/>
        </w:rPr>
        <w:t>7</w:t>
      </w:r>
      <w:r>
        <w:t>枚以上；</w:t>
      </w:r>
      <w:r>
        <w:rPr>
          <w:rFonts w:hint="eastAsia"/>
        </w:rPr>
        <w:t>牙槽骨部分缺损，合</w:t>
      </w:r>
      <w:r>
        <w:t>并牙齿缺失</w:t>
      </w:r>
      <w:r>
        <w:rPr>
          <w:rFonts w:hint="eastAsia"/>
        </w:rPr>
        <w:t>或者折断4</w:t>
      </w:r>
      <w:r>
        <w:t>枚以上；</w:t>
      </w:r>
    </w:p>
    <w:bookmarkEnd w:id="122"/>
    <w:p>
      <w:pPr>
        <w:pStyle w:val="13"/>
        <w:tabs>
          <w:tab w:val="left" w:pos="900"/>
        </w:tabs>
        <w:ind w:hanging="590"/>
      </w:pPr>
      <w:bookmarkStart w:id="123" w:name="OLE_LINK106"/>
      <w:bookmarkStart w:id="124" w:name="OLE_LINK104"/>
      <w:r>
        <w:t>张口</w:t>
      </w:r>
      <w:r>
        <w:rPr>
          <w:rFonts w:hint="eastAsia"/>
        </w:rPr>
        <w:t>受限</w:t>
      </w:r>
      <w:r>
        <w:rPr>
          <w:rFonts w:hint="eastAsia" w:hAnsi="宋体" w:cs="宋体"/>
        </w:rPr>
        <w:t>Ⅰ</w:t>
      </w:r>
      <w:r>
        <w:t>度；</w:t>
      </w:r>
    </w:p>
    <w:bookmarkEnd w:id="123"/>
    <w:p>
      <w:pPr>
        <w:pStyle w:val="13"/>
        <w:tabs>
          <w:tab w:val="left" w:pos="900"/>
        </w:tabs>
        <w:ind w:hanging="590"/>
      </w:pPr>
      <w:r>
        <w:t>咽或者咽后区损伤影响吞咽功能</w:t>
      </w:r>
      <w:r>
        <w:rPr>
          <w:rFonts w:hint="eastAsia"/>
        </w:rPr>
        <w:t>。</w:t>
      </w:r>
    </w:p>
    <w:bookmarkEnd w:id="124"/>
    <w:p>
      <w:pPr>
        <w:pStyle w:val="12"/>
        <w:spacing w:before="120" w:after="120"/>
        <w:ind w:left="210" w:right="210"/>
        <w:rPr>
          <w:rFonts w:hint="eastAsia"/>
        </w:rPr>
      </w:pPr>
      <w:bookmarkStart w:id="125" w:name="OLE_LINK105"/>
      <w:r>
        <w:rPr>
          <w:rFonts w:hint="eastAsia"/>
        </w:rPr>
        <w:t>颈部及胸部损伤</w:t>
      </w:r>
    </w:p>
    <w:p>
      <w:pPr>
        <w:pStyle w:val="13"/>
        <w:numPr>
          <w:ilvl w:val="1"/>
          <w:numId w:val="63"/>
        </w:numPr>
        <w:tabs>
          <w:tab w:val="left" w:pos="900"/>
          <w:tab w:val="left" w:pos="1130"/>
        </w:tabs>
        <w:ind w:hanging="590"/>
      </w:pPr>
      <w:r>
        <w:t>颏颈粘连畸形松解术后；</w:t>
      </w:r>
    </w:p>
    <w:bookmarkEnd w:id="125"/>
    <w:p>
      <w:pPr>
        <w:pStyle w:val="13"/>
        <w:tabs>
          <w:tab w:val="left" w:pos="900"/>
        </w:tabs>
        <w:ind w:hanging="590"/>
      </w:pPr>
      <w:bookmarkStart w:id="126" w:name="OLE_LINK107"/>
      <w:r>
        <w:t>颈前三角区瘢痕</w:t>
      </w:r>
      <w:r>
        <w:rPr>
          <w:rFonts w:hint="eastAsia"/>
        </w:rPr>
        <w:t>形成，</w:t>
      </w:r>
      <w:r>
        <w:t>累计面积达25</w:t>
      </w:r>
      <w:r>
        <w:rPr>
          <w:rFonts w:hint="eastAsia"/>
        </w:rPr>
        <w:t>.0</w:t>
      </w:r>
      <w:r>
        <w:t>cm</w:t>
      </w:r>
      <w:r>
        <w:rPr>
          <w:vertAlign w:val="superscript"/>
        </w:rPr>
        <w:t>2</w:t>
      </w:r>
      <w:r>
        <w:t>；</w:t>
      </w:r>
    </w:p>
    <w:p>
      <w:pPr>
        <w:pStyle w:val="13"/>
        <w:tabs>
          <w:tab w:val="left" w:pos="900"/>
        </w:tabs>
        <w:ind w:hanging="590"/>
        <w:rPr>
          <w:rFonts w:hint="eastAsia"/>
        </w:rPr>
      </w:pPr>
      <w:r>
        <w:rPr>
          <w:rFonts w:hint="eastAsia"/>
        </w:rPr>
        <w:t>一</w:t>
      </w:r>
      <w:r>
        <w:t>侧喉返神经损伤</w:t>
      </w:r>
      <w:r>
        <w:rPr>
          <w:rFonts w:hint="eastAsia"/>
        </w:rPr>
        <w:t>，影响功能；</w:t>
      </w:r>
    </w:p>
    <w:p>
      <w:pPr>
        <w:pStyle w:val="13"/>
        <w:tabs>
          <w:tab w:val="left" w:pos="900"/>
        </w:tabs>
        <w:ind w:hanging="590"/>
      </w:pPr>
      <w:r>
        <w:t>器质性声音嘶哑；</w:t>
      </w:r>
    </w:p>
    <w:bookmarkEnd w:id="126"/>
    <w:p>
      <w:pPr>
        <w:pStyle w:val="13"/>
        <w:tabs>
          <w:tab w:val="left" w:pos="900"/>
        </w:tabs>
        <w:ind w:hanging="590"/>
      </w:pPr>
      <w:bookmarkStart w:id="127" w:name="OLE_LINK108"/>
      <w:r>
        <w:t>食管</w:t>
      </w:r>
      <w:r>
        <w:rPr>
          <w:rFonts w:hint="eastAsia"/>
        </w:rPr>
        <w:t>修补术后</w:t>
      </w:r>
      <w:r>
        <w:t>；</w:t>
      </w:r>
    </w:p>
    <w:p>
      <w:pPr>
        <w:pStyle w:val="13"/>
        <w:tabs>
          <w:tab w:val="left" w:pos="900"/>
        </w:tabs>
        <w:ind w:hanging="590"/>
      </w:pPr>
      <w:r>
        <w:t>女性一侧乳房部分缺</w:t>
      </w:r>
      <w:r>
        <w:rPr>
          <w:rFonts w:hint="eastAsia"/>
        </w:rPr>
        <w:t>失</w:t>
      </w:r>
      <w:r>
        <w:t>或者畸形；</w:t>
      </w:r>
    </w:p>
    <w:p>
      <w:pPr>
        <w:pStyle w:val="13"/>
        <w:tabs>
          <w:tab w:val="left" w:pos="900"/>
        </w:tabs>
        <w:ind w:hanging="590"/>
        <w:rPr>
          <w:rFonts w:hint="eastAsia"/>
        </w:rPr>
      </w:pPr>
      <w:r>
        <w:t>肋骨</w:t>
      </w:r>
      <w:r>
        <w:rPr>
          <w:rFonts w:hint="eastAsia"/>
        </w:rPr>
        <w:t>骨折6根以上，或者</w:t>
      </w:r>
      <w:r>
        <w:t>肋骨</w:t>
      </w:r>
      <w:r>
        <w:rPr>
          <w:rFonts w:hint="eastAsia"/>
        </w:rPr>
        <w:t>部分缺失</w:t>
      </w:r>
      <w:r>
        <w:t>2根以上</w:t>
      </w:r>
      <w:r>
        <w:rPr>
          <w:rFonts w:hint="eastAsia"/>
        </w:rPr>
        <w:t>；肋骨骨折4根以上并后遗2处畸形愈合；</w:t>
      </w:r>
    </w:p>
    <w:p>
      <w:pPr>
        <w:pStyle w:val="13"/>
        <w:tabs>
          <w:tab w:val="left" w:pos="900"/>
        </w:tabs>
        <w:ind w:hanging="590"/>
        <w:rPr>
          <w:rFonts w:hint="eastAsia"/>
        </w:rPr>
      </w:pPr>
      <w:r>
        <w:t>肺修补术后</w:t>
      </w:r>
      <w:r>
        <w:rPr>
          <w:rFonts w:hint="eastAsia"/>
        </w:rPr>
        <w:t>；</w:t>
      </w:r>
    </w:p>
    <w:p>
      <w:pPr>
        <w:pStyle w:val="13"/>
        <w:tabs>
          <w:tab w:val="left" w:pos="900"/>
        </w:tabs>
        <w:ind w:hanging="590"/>
      </w:pPr>
      <w:r>
        <w:t>呼吸困难（轻度）</w:t>
      </w:r>
      <w:r>
        <w:rPr>
          <w:rFonts w:hint="eastAsia"/>
        </w:rPr>
        <w:t>。</w:t>
      </w:r>
    </w:p>
    <w:p>
      <w:pPr>
        <w:pStyle w:val="12"/>
        <w:spacing w:before="120" w:after="120"/>
        <w:ind w:left="210" w:right="210"/>
        <w:rPr>
          <w:rFonts w:hint="eastAsia"/>
        </w:rPr>
      </w:pPr>
      <w:r>
        <w:rPr>
          <w:rFonts w:hint="eastAsia"/>
        </w:rPr>
        <w:t>腹部损伤</w:t>
      </w:r>
    </w:p>
    <w:p>
      <w:pPr>
        <w:pStyle w:val="13"/>
        <w:numPr>
          <w:ilvl w:val="1"/>
          <w:numId w:val="64"/>
        </w:numPr>
        <w:tabs>
          <w:tab w:val="left" w:pos="900"/>
          <w:tab w:val="left" w:pos="1130"/>
        </w:tabs>
        <w:ind w:hanging="590"/>
      </w:pPr>
      <w:r>
        <w:t>腹壁疝</w:t>
      </w:r>
      <w:r>
        <w:rPr>
          <w:rFonts w:hint="eastAsia"/>
        </w:rPr>
        <w:t>，难以手术修补</w:t>
      </w:r>
      <w:r>
        <w:t>；</w:t>
      </w:r>
    </w:p>
    <w:p>
      <w:pPr>
        <w:pStyle w:val="13"/>
        <w:tabs>
          <w:tab w:val="left" w:pos="900"/>
        </w:tabs>
        <w:ind w:hanging="590"/>
      </w:pPr>
      <w:r>
        <w:t>肝、脾或者胰腺修补术后；</w:t>
      </w:r>
    </w:p>
    <w:p>
      <w:pPr>
        <w:pStyle w:val="13"/>
        <w:tabs>
          <w:tab w:val="left" w:pos="900"/>
        </w:tabs>
        <w:ind w:hanging="590"/>
      </w:pPr>
      <w:r>
        <w:t>胃、肠或者胆道修补术后；</w:t>
      </w:r>
    </w:p>
    <w:p>
      <w:pPr>
        <w:pStyle w:val="13"/>
        <w:tabs>
          <w:tab w:val="left" w:pos="900"/>
        </w:tabs>
        <w:ind w:hanging="590"/>
        <w:rPr>
          <w:rFonts w:hint="eastAsia"/>
        </w:rPr>
      </w:pPr>
      <w:r>
        <w:t>膈肌修补术后</w:t>
      </w:r>
      <w:r>
        <w:rPr>
          <w:rFonts w:hint="eastAsia"/>
        </w:rPr>
        <w:t>。</w:t>
      </w:r>
    </w:p>
    <w:bookmarkEnd w:id="127"/>
    <w:p>
      <w:pPr>
        <w:pStyle w:val="12"/>
        <w:spacing w:before="120" w:after="120"/>
        <w:ind w:left="210" w:right="210"/>
        <w:rPr>
          <w:rFonts w:hint="eastAsia"/>
        </w:rPr>
      </w:pPr>
      <w:bookmarkStart w:id="128" w:name="OLE_LINK111"/>
      <w:r>
        <w:rPr>
          <w:rFonts w:hint="eastAsia"/>
        </w:rPr>
        <w:t>盆部及会阴部损伤</w:t>
      </w:r>
    </w:p>
    <w:bookmarkEnd w:id="128"/>
    <w:p>
      <w:pPr>
        <w:pStyle w:val="13"/>
        <w:numPr>
          <w:ilvl w:val="1"/>
          <w:numId w:val="65"/>
        </w:numPr>
        <w:tabs>
          <w:tab w:val="left" w:pos="900"/>
        </w:tabs>
        <w:ind w:hanging="590"/>
        <w:rPr>
          <w:rFonts w:hint="eastAsia"/>
        </w:rPr>
      </w:pPr>
      <w:bookmarkStart w:id="129" w:name="OLE_LINK113"/>
      <w:bookmarkStart w:id="130" w:name="OLE_LINK114"/>
      <w:r>
        <w:t>肾、输尿管或者膀胱修补术后</w:t>
      </w:r>
      <w:r>
        <w:rPr>
          <w:rFonts w:hint="eastAsia"/>
        </w:rPr>
        <w:t>；</w:t>
      </w:r>
    </w:p>
    <w:p>
      <w:pPr>
        <w:pStyle w:val="13"/>
        <w:tabs>
          <w:tab w:val="left" w:pos="900"/>
        </w:tabs>
        <w:ind w:hanging="590"/>
      </w:pPr>
      <w:r>
        <w:t>子宫</w:t>
      </w:r>
      <w:r>
        <w:rPr>
          <w:rFonts w:hint="eastAsia"/>
        </w:rPr>
        <w:t>或者</w:t>
      </w:r>
      <w:r>
        <w:t>卵巢修补术后；</w:t>
      </w:r>
    </w:p>
    <w:bookmarkEnd w:id="129"/>
    <w:bookmarkEnd w:id="130"/>
    <w:p>
      <w:pPr>
        <w:pStyle w:val="13"/>
        <w:tabs>
          <w:tab w:val="left" w:pos="900"/>
        </w:tabs>
        <w:ind w:hanging="590"/>
      </w:pPr>
      <w:bookmarkStart w:id="131" w:name="OLE_LINK115"/>
      <w:r>
        <w:t>外阴</w:t>
      </w:r>
      <w:r>
        <w:rPr>
          <w:rFonts w:hint="eastAsia"/>
        </w:rPr>
        <w:t>或者阴道修补术</w:t>
      </w:r>
      <w:r>
        <w:t>后；</w:t>
      </w:r>
    </w:p>
    <w:bookmarkEnd w:id="131"/>
    <w:p>
      <w:pPr>
        <w:pStyle w:val="13"/>
        <w:tabs>
          <w:tab w:val="left" w:pos="900"/>
        </w:tabs>
        <w:ind w:hanging="590"/>
      </w:pPr>
      <w:bookmarkStart w:id="132" w:name="OLE_LINK112"/>
      <w:bookmarkStart w:id="133" w:name="OLE_LINK116"/>
      <w:r>
        <w:t>睾丸破裂修补术后；</w:t>
      </w:r>
    </w:p>
    <w:bookmarkEnd w:id="132"/>
    <w:p>
      <w:pPr>
        <w:pStyle w:val="13"/>
        <w:tabs>
          <w:tab w:val="left" w:pos="900"/>
        </w:tabs>
        <w:ind w:hanging="590"/>
      </w:pPr>
      <w:r>
        <w:rPr>
          <w:rFonts w:hint="eastAsia"/>
        </w:rPr>
        <w:t>一侧输精管破裂修复术后；</w:t>
      </w:r>
    </w:p>
    <w:bookmarkEnd w:id="133"/>
    <w:p>
      <w:pPr>
        <w:pStyle w:val="13"/>
        <w:tabs>
          <w:tab w:val="left" w:pos="900"/>
        </w:tabs>
        <w:ind w:hanging="590"/>
        <w:rPr>
          <w:rFonts w:hint="eastAsia"/>
        </w:rPr>
      </w:pPr>
      <w:bookmarkStart w:id="134" w:name="OLE_LINK117"/>
      <w:r>
        <w:t>尿道修补术后</w:t>
      </w:r>
      <w:r>
        <w:rPr>
          <w:rFonts w:hint="eastAsia"/>
        </w:rPr>
        <w:t>；</w:t>
      </w:r>
    </w:p>
    <w:p>
      <w:pPr>
        <w:pStyle w:val="13"/>
        <w:tabs>
          <w:tab w:val="left" w:pos="900"/>
        </w:tabs>
        <w:ind w:hanging="590"/>
        <w:rPr>
          <w:rFonts w:hint="eastAsia"/>
        </w:rPr>
      </w:pPr>
      <w:r>
        <w:rPr>
          <w:rFonts w:hint="eastAsia"/>
        </w:rPr>
        <w:t>会阴部瘢痕挛缩，肛管狭窄；</w:t>
      </w:r>
    </w:p>
    <w:p>
      <w:pPr>
        <w:pStyle w:val="13"/>
        <w:tabs>
          <w:tab w:val="left" w:pos="900"/>
        </w:tabs>
        <w:ind w:hanging="590"/>
        <w:rPr>
          <w:rFonts w:hint="eastAsia"/>
        </w:rPr>
      </w:pPr>
      <w:r>
        <w:rPr>
          <w:rFonts w:hint="eastAsia"/>
        </w:rPr>
        <w:t>阴茎头部分缺失。</w:t>
      </w:r>
    </w:p>
    <w:p>
      <w:pPr>
        <w:pStyle w:val="12"/>
        <w:spacing w:before="120" w:after="120"/>
        <w:ind w:left="210" w:right="210"/>
        <w:rPr>
          <w:rFonts w:hint="eastAsia"/>
        </w:rPr>
      </w:pPr>
      <w:r>
        <w:rPr>
          <w:rFonts w:hint="eastAsia"/>
        </w:rPr>
        <w:t>脊柱、骨盆及四肢损伤</w:t>
      </w:r>
    </w:p>
    <w:p>
      <w:pPr>
        <w:pStyle w:val="13"/>
        <w:numPr>
          <w:ilvl w:val="1"/>
          <w:numId w:val="66"/>
        </w:numPr>
        <w:tabs>
          <w:tab w:val="left" w:pos="900"/>
          <w:tab w:val="left" w:pos="1130"/>
        </w:tabs>
        <w:ind w:hanging="590"/>
      </w:pPr>
      <w:r>
        <w:t>枢椎齿</w:t>
      </w:r>
      <w:r>
        <w:rPr>
          <w:rFonts w:hint="eastAsia"/>
        </w:rPr>
        <w:t>状</w:t>
      </w:r>
      <w:r>
        <w:t>突骨折</w:t>
      </w:r>
      <w:r>
        <w:rPr>
          <w:rFonts w:hint="eastAsia"/>
        </w:rPr>
        <w:t>，影响功能</w:t>
      </w:r>
      <w:r>
        <w:t>；</w:t>
      </w:r>
    </w:p>
    <w:p>
      <w:pPr>
        <w:pStyle w:val="13"/>
        <w:tabs>
          <w:tab w:val="left" w:pos="900"/>
        </w:tabs>
        <w:ind w:hanging="590"/>
      </w:pPr>
      <w:r>
        <w:t>一椎体压缩性骨折（压缩</w:t>
      </w:r>
      <w:r>
        <w:rPr>
          <w:rFonts w:hint="eastAsia"/>
        </w:rPr>
        <w:t>程度</w:t>
      </w:r>
      <w:r>
        <w:t>达1/</w:t>
      </w:r>
      <w:r>
        <w:rPr>
          <w:rFonts w:hint="eastAsia"/>
        </w:rPr>
        <w:t>3</w:t>
      </w:r>
      <w:r>
        <w:t>）</w:t>
      </w:r>
      <w:r>
        <w:rPr>
          <w:rFonts w:hint="eastAsia"/>
        </w:rPr>
        <w:t>或者</w:t>
      </w:r>
      <w:r>
        <w:t>粉碎性骨折</w:t>
      </w:r>
      <w:r>
        <w:rPr>
          <w:rFonts w:hint="eastAsia"/>
        </w:rPr>
        <w:t xml:space="preserve">；一椎体骨折经手术治疗后； </w:t>
      </w:r>
    </w:p>
    <w:bookmarkEnd w:id="134"/>
    <w:p>
      <w:pPr>
        <w:pStyle w:val="13"/>
        <w:tabs>
          <w:tab w:val="left" w:pos="900"/>
        </w:tabs>
        <w:ind w:hanging="590"/>
        <w:rPr>
          <w:rFonts w:hint="eastAsia"/>
        </w:rPr>
      </w:pPr>
      <w:bookmarkStart w:id="135" w:name="OLE_LINK118"/>
      <w:r>
        <w:rPr>
          <w:rFonts w:hint="eastAsia"/>
        </w:rPr>
        <w:t>四处以上横突、棘突或者椎弓根骨折，影响功能；</w:t>
      </w:r>
    </w:p>
    <w:p>
      <w:pPr>
        <w:pStyle w:val="13"/>
        <w:tabs>
          <w:tab w:val="left" w:pos="900"/>
        </w:tabs>
        <w:ind w:hanging="590"/>
        <w:rPr>
          <w:rFonts w:hint="eastAsia"/>
        </w:rPr>
      </w:pPr>
      <w:r>
        <w:rPr>
          <w:rFonts w:hint="eastAsia"/>
        </w:rPr>
        <w:t>骨盆两处以上骨折或者粉碎性骨折，畸形愈合</w:t>
      </w:r>
      <w:r>
        <w:t>；</w:t>
      </w:r>
    </w:p>
    <w:bookmarkEnd w:id="135"/>
    <w:p>
      <w:pPr>
        <w:pStyle w:val="13"/>
        <w:tabs>
          <w:tab w:val="left" w:pos="900"/>
        </w:tabs>
        <w:ind w:hanging="590"/>
        <w:rPr>
          <w:rFonts w:hint="eastAsia"/>
        </w:rPr>
      </w:pPr>
      <w:bookmarkStart w:id="136" w:name="OLE_LINK119"/>
      <w:r>
        <w:t>一侧髌骨</w:t>
      </w:r>
      <w:r>
        <w:rPr>
          <w:rFonts w:hint="eastAsia"/>
        </w:rPr>
        <w:t>切除；</w:t>
      </w:r>
    </w:p>
    <w:p>
      <w:pPr>
        <w:pStyle w:val="13"/>
        <w:tabs>
          <w:tab w:val="left" w:pos="900"/>
        </w:tabs>
        <w:ind w:hanging="590"/>
      </w:pPr>
      <w:r>
        <w:rPr>
          <w:rFonts w:hint="eastAsia"/>
        </w:rPr>
        <w:t>一侧膝关节交叉韧带、半月板伴</w:t>
      </w:r>
      <w:r>
        <w:t>侧副韧带</w:t>
      </w:r>
      <w:r>
        <w:rPr>
          <w:rFonts w:hint="eastAsia"/>
        </w:rPr>
        <w:t>撕裂伤经手术治疗</w:t>
      </w:r>
      <w:r>
        <w:t>后</w:t>
      </w:r>
      <w:r>
        <w:rPr>
          <w:rFonts w:hint="eastAsia"/>
        </w:rPr>
        <w:t>，影响功能</w:t>
      </w:r>
      <w:r>
        <w:t>；</w:t>
      </w:r>
    </w:p>
    <w:p>
      <w:pPr>
        <w:pStyle w:val="13"/>
        <w:tabs>
          <w:tab w:val="left" w:pos="900"/>
        </w:tabs>
        <w:ind w:hanging="590"/>
        <w:rPr>
          <w:rFonts w:hint="eastAsia"/>
        </w:rPr>
      </w:pPr>
      <w:r>
        <w:rPr>
          <w:rFonts w:hint="eastAsia"/>
          <w:szCs w:val="21"/>
        </w:rPr>
        <w:t>青少年四肢长骨骨折累及骨骺</w:t>
      </w:r>
      <w:r>
        <w:t>；</w:t>
      </w:r>
    </w:p>
    <w:p>
      <w:pPr>
        <w:pStyle w:val="13"/>
        <w:tabs>
          <w:tab w:val="left" w:pos="900"/>
        </w:tabs>
        <w:ind w:hanging="590"/>
        <w:rPr>
          <w:rFonts w:hint="eastAsia"/>
          <w:szCs w:val="21"/>
        </w:rPr>
      </w:pPr>
      <w:r>
        <w:rPr>
          <w:rFonts w:hint="eastAsia"/>
          <w:szCs w:val="21"/>
        </w:rPr>
        <w:t>一上肢前臂旋转功能丧失75</w:t>
      </w:r>
      <w:r>
        <w:rPr>
          <w:szCs w:val="21"/>
        </w:rPr>
        <w:t>%</w:t>
      </w:r>
      <w:r>
        <w:rPr>
          <w:rFonts w:hint="eastAsia"/>
          <w:szCs w:val="21"/>
        </w:rPr>
        <w:t>以上；</w:t>
      </w:r>
    </w:p>
    <w:p>
      <w:pPr>
        <w:pStyle w:val="13"/>
        <w:tabs>
          <w:tab w:val="left" w:pos="900"/>
        </w:tabs>
        <w:ind w:hanging="590"/>
        <w:rPr>
          <w:rFonts w:hint="eastAsia"/>
        </w:rPr>
      </w:pPr>
      <w:r>
        <w:rPr>
          <w:rFonts w:hint="eastAsia"/>
        </w:rPr>
        <w:t>双上肢长度相差4.0cm以上；</w:t>
      </w:r>
    </w:p>
    <w:p>
      <w:pPr>
        <w:pStyle w:val="13"/>
        <w:tabs>
          <w:tab w:val="left" w:pos="900"/>
        </w:tabs>
        <w:ind w:hanging="590"/>
        <w:rPr>
          <w:rFonts w:hint="eastAsia"/>
        </w:rPr>
      </w:pPr>
      <w:r>
        <w:t>双下肢长度相差</w:t>
      </w:r>
      <w:r>
        <w:rPr>
          <w:rFonts w:hint="eastAsia"/>
        </w:rPr>
        <w:t>2.0</w:t>
      </w:r>
      <w:r>
        <w:t>cm</w:t>
      </w:r>
      <w:r>
        <w:rPr>
          <w:rFonts w:hint="eastAsia"/>
        </w:rPr>
        <w:t>以上</w:t>
      </w:r>
      <w:r>
        <w:t>；</w:t>
      </w:r>
    </w:p>
    <w:p>
      <w:pPr>
        <w:pStyle w:val="13"/>
        <w:tabs>
          <w:tab w:val="left" w:pos="900"/>
        </w:tabs>
        <w:ind w:left="900" w:hanging="360"/>
        <w:rPr>
          <w:rFonts w:hint="eastAsia"/>
        </w:rPr>
      </w:pPr>
      <w:r>
        <w:rPr>
          <w:rFonts w:hint="eastAsia"/>
        </w:rPr>
        <w:t>四肢任一大关节（踝关节除外）功能丧失25%以上；</w:t>
      </w:r>
    </w:p>
    <w:p>
      <w:pPr>
        <w:pStyle w:val="13"/>
        <w:tabs>
          <w:tab w:val="left" w:pos="900"/>
        </w:tabs>
        <w:ind w:left="900" w:hanging="360"/>
        <w:rPr>
          <w:rFonts w:hint="eastAsia"/>
        </w:rPr>
      </w:pPr>
      <w:r>
        <w:rPr>
          <w:rFonts w:hint="eastAsia"/>
        </w:rPr>
        <w:t>一踝关节功能丧失50%以上；</w:t>
      </w:r>
    </w:p>
    <w:p>
      <w:pPr>
        <w:pStyle w:val="13"/>
        <w:tabs>
          <w:tab w:val="left" w:pos="900"/>
        </w:tabs>
        <w:ind w:hanging="590"/>
        <w:rPr>
          <w:rFonts w:hint="eastAsia"/>
        </w:rPr>
      </w:pPr>
      <w:r>
        <w:rPr>
          <w:rFonts w:hint="eastAsia"/>
        </w:rPr>
        <w:t>下肢任一大关节骨折后遗创伤性关节炎；</w:t>
      </w:r>
    </w:p>
    <w:p>
      <w:pPr>
        <w:pStyle w:val="13"/>
        <w:tabs>
          <w:tab w:val="left" w:pos="900"/>
        </w:tabs>
        <w:ind w:hanging="590"/>
        <w:rPr>
          <w:rFonts w:hint="eastAsia"/>
        </w:rPr>
      </w:pPr>
      <w:r>
        <w:rPr>
          <w:rFonts w:hint="eastAsia"/>
        </w:rPr>
        <w:t>肢体重要血管循环障碍，影响功能；</w:t>
      </w:r>
    </w:p>
    <w:p>
      <w:pPr>
        <w:pStyle w:val="13"/>
        <w:tabs>
          <w:tab w:val="left" w:pos="900"/>
        </w:tabs>
        <w:ind w:hanging="590"/>
        <w:rPr>
          <w:rFonts w:hint="eastAsia"/>
        </w:rPr>
      </w:pPr>
      <w:r>
        <w:rPr>
          <w:rFonts w:hint="eastAsia"/>
        </w:rPr>
        <w:t>一手小指完全缺失并第5掌骨部分缺损；</w:t>
      </w:r>
    </w:p>
    <w:p>
      <w:pPr>
        <w:pStyle w:val="13"/>
        <w:tabs>
          <w:tab w:val="left" w:pos="900"/>
        </w:tabs>
        <w:ind w:left="900" w:hanging="360"/>
        <w:rPr>
          <w:rFonts w:hint="eastAsia"/>
        </w:rPr>
      </w:pPr>
      <w:r>
        <w:rPr>
          <w:rFonts w:hint="eastAsia"/>
        </w:rPr>
        <w:t>一足拇趾功能丧失75%以上；一足5趾功能丧失均达50%；双足拇趾功能丧失均达50%；双足除拇趾外任何4趾功能均完全丧失；</w:t>
      </w:r>
    </w:p>
    <w:p>
      <w:pPr>
        <w:pStyle w:val="13"/>
        <w:tabs>
          <w:tab w:val="left" w:pos="900"/>
        </w:tabs>
        <w:ind w:hanging="590"/>
      </w:pPr>
      <w:r>
        <w:t>一足跟骨</w:t>
      </w:r>
      <w:r>
        <w:rPr>
          <w:rFonts w:hint="eastAsia"/>
        </w:rPr>
        <w:t>粉碎性</w:t>
      </w:r>
      <w:r>
        <w:t>骨折</w:t>
      </w:r>
      <w:r>
        <w:rPr>
          <w:rFonts w:hint="eastAsia"/>
        </w:rPr>
        <w:t>畸形愈合</w:t>
      </w:r>
      <w:r>
        <w:t>；</w:t>
      </w:r>
    </w:p>
    <w:p>
      <w:pPr>
        <w:pStyle w:val="13"/>
        <w:tabs>
          <w:tab w:val="left" w:pos="900"/>
        </w:tabs>
        <w:ind w:hanging="590"/>
        <w:rPr>
          <w:rFonts w:hint="eastAsia"/>
        </w:rPr>
      </w:pPr>
      <w:r>
        <w:t>一足足弓结构部分破坏</w:t>
      </w:r>
      <w:r>
        <w:rPr>
          <w:rFonts w:hint="eastAsia"/>
        </w:rPr>
        <w:t>；</w:t>
      </w:r>
    </w:p>
    <w:p>
      <w:pPr>
        <w:pStyle w:val="13"/>
        <w:tabs>
          <w:tab w:val="left" w:pos="900"/>
        </w:tabs>
        <w:ind w:hanging="590"/>
        <w:rPr>
          <w:rFonts w:hint="eastAsia"/>
        </w:rPr>
      </w:pPr>
      <w:r>
        <w:rPr>
          <w:rFonts w:hint="eastAsia"/>
        </w:rPr>
        <w:t>手或者足功能丧失分值</w:t>
      </w:r>
      <w:r>
        <w:rPr>
          <w:rFonts w:hint="eastAsia" w:hAnsi="宋体"/>
        </w:rPr>
        <w:t>≥</w:t>
      </w:r>
      <w:r>
        <w:rPr>
          <w:rFonts w:hint="eastAsia"/>
        </w:rPr>
        <w:t>10分。</w:t>
      </w:r>
    </w:p>
    <w:bookmarkEnd w:id="136"/>
    <w:p>
      <w:pPr>
        <w:pStyle w:val="12"/>
        <w:spacing w:before="120" w:after="120"/>
        <w:ind w:left="210" w:right="210"/>
        <w:rPr>
          <w:rFonts w:hint="eastAsia"/>
        </w:rPr>
      </w:pPr>
      <w:bookmarkStart w:id="137" w:name="OLE_LINK120"/>
      <w:r>
        <w:rPr>
          <w:rFonts w:hint="eastAsia"/>
        </w:rPr>
        <w:t>体表及其他损伤</w:t>
      </w:r>
    </w:p>
    <w:p>
      <w:pPr>
        <w:pStyle w:val="13"/>
        <w:numPr>
          <w:ilvl w:val="1"/>
          <w:numId w:val="67"/>
        </w:numPr>
        <w:tabs>
          <w:tab w:val="left" w:pos="851"/>
          <w:tab w:val="left" w:pos="900"/>
        </w:tabs>
        <w:ind w:left="851" w:hanging="284"/>
        <w:rPr>
          <w:rFonts w:hint="eastAsia"/>
        </w:rPr>
      </w:pPr>
      <w:bookmarkStart w:id="138" w:name="OLE_LINK121"/>
      <w:r>
        <w:rPr>
          <w:rFonts w:hint="eastAsia"/>
        </w:rPr>
        <w:t>手部皮肤瘢痕形成或者植皮术后，范围达一手掌面积50%；</w:t>
      </w:r>
    </w:p>
    <w:p>
      <w:pPr>
        <w:pStyle w:val="13"/>
        <w:tabs>
          <w:tab w:val="left" w:pos="851"/>
          <w:tab w:val="left" w:pos="900"/>
        </w:tabs>
        <w:ind w:hanging="590"/>
      </w:pPr>
      <w:r>
        <w:t>皮肤瘢痕形成达体表面积</w:t>
      </w:r>
      <w:r>
        <w:rPr>
          <w:rFonts w:hint="eastAsia"/>
        </w:rPr>
        <w:t>4%</w:t>
      </w:r>
      <w:r>
        <w:t>；</w:t>
      </w:r>
    </w:p>
    <w:p>
      <w:pPr>
        <w:pStyle w:val="13"/>
        <w:tabs>
          <w:tab w:val="left" w:pos="851"/>
          <w:tab w:val="left" w:pos="900"/>
        </w:tabs>
        <w:ind w:hanging="590"/>
      </w:pPr>
      <w:r>
        <w:t>皮肤创面长期不愈</w:t>
      </w:r>
      <w:r>
        <w:rPr>
          <w:rFonts w:hint="eastAsia"/>
        </w:rPr>
        <w:t>超过</w:t>
      </w:r>
      <w:r>
        <w:t>1年，</w:t>
      </w:r>
      <w:r>
        <w:rPr>
          <w:rFonts w:hint="eastAsia"/>
        </w:rPr>
        <w:t>范围达体表</w:t>
      </w:r>
      <w:r>
        <w:t>面积</w:t>
      </w:r>
      <w:r>
        <w:rPr>
          <w:rFonts w:hint="eastAsia"/>
        </w:rPr>
        <w:t>1%</w:t>
      </w:r>
      <w:bookmarkEnd w:id="138"/>
      <w:r>
        <w:rPr>
          <w:rFonts w:hint="eastAsia"/>
        </w:rPr>
        <w:t>。</w:t>
      </w:r>
    </w:p>
    <w:bookmarkEnd w:id="137"/>
    <w:p>
      <w:pPr>
        <w:pStyle w:val="9"/>
        <w:spacing w:before="240" w:after="240"/>
        <w:rPr>
          <w:rFonts w:eastAsia="Times New Roman"/>
        </w:rPr>
      </w:pPr>
      <w:bookmarkStart w:id="139" w:name="_Toc386380670"/>
      <w:bookmarkStart w:id="140" w:name="_Toc384919730"/>
      <w:bookmarkStart w:id="141" w:name="_Toc228161519"/>
      <w:r>
        <w:t>附则</w:t>
      </w:r>
      <w:bookmarkEnd w:id="139"/>
      <w:bookmarkEnd w:id="140"/>
      <w:bookmarkEnd w:id="141"/>
    </w:p>
    <w:p>
      <w:pPr>
        <w:pStyle w:val="11"/>
        <w:spacing w:before="120" w:after="120"/>
        <w:ind w:left="210" w:right="210"/>
        <w:jc w:val="both"/>
        <w:rPr>
          <w:rFonts w:ascii="宋体" w:hAnsi="宋体" w:eastAsia="宋体"/>
        </w:rPr>
      </w:pPr>
      <w:bookmarkStart w:id="142" w:name="_Toc384919731"/>
      <w:bookmarkStart w:id="143" w:name="_Toc386380671"/>
      <w:r>
        <w:rPr>
          <w:rFonts w:ascii="宋体" w:hAnsi="宋体" w:eastAsia="宋体"/>
        </w:rPr>
        <w:t>遇有本标准</w:t>
      </w:r>
      <w:r>
        <w:rPr>
          <w:rFonts w:hint="eastAsia" w:ascii="宋体" w:hAnsi="宋体" w:eastAsia="宋体"/>
        </w:rPr>
        <w:t>致残程度分级系列中未列入</w:t>
      </w:r>
      <w:r>
        <w:rPr>
          <w:rFonts w:ascii="宋体" w:hAnsi="宋体" w:eastAsia="宋体"/>
        </w:rPr>
        <w:t>的</w:t>
      </w:r>
      <w:r>
        <w:rPr>
          <w:rFonts w:hint="eastAsia" w:ascii="宋体" w:hAnsi="宋体" w:eastAsia="宋体"/>
        </w:rPr>
        <w:t>致残情形</w:t>
      </w:r>
      <w:r>
        <w:rPr>
          <w:rFonts w:ascii="宋体" w:hAnsi="宋体" w:eastAsia="宋体"/>
        </w:rPr>
        <w:t>，可根据</w:t>
      </w:r>
      <w:r>
        <w:rPr>
          <w:rFonts w:hint="eastAsia" w:ascii="宋体" w:hAnsi="宋体" w:eastAsia="宋体"/>
        </w:rPr>
        <w:t>残疾</w:t>
      </w:r>
      <w:r>
        <w:rPr>
          <w:rFonts w:ascii="宋体" w:hAnsi="宋体" w:eastAsia="宋体"/>
        </w:rPr>
        <w:t>的实际情况，</w:t>
      </w:r>
      <w:r>
        <w:rPr>
          <w:rFonts w:hint="eastAsia" w:ascii="宋体" w:hAnsi="宋体" w:eastAsia="宋体"/>
        </w:rPr>
        <w:t>依据</w:t>
      </w:r>
      <w:r>
        <w:rPr>
          <w:rFonts w:ascii="宋体" w:hAnsi="宋体" w:eastAsia="宋体"/>
        </w:rPr>
        <w:t>本标准附录A的规定</w:t>
      </w:r>
      <w:r>
        <w:rPr>
          <w:rFonts w:hint="eastAsia" w:ascii="宋体" w:hAnsi="宋体" w:eastAsia="宋体"/>
        </w:rPr>
        <w:t>，并比照</w:t>
      </w:r>
      <w:r>
        <w:rPr>
          <w:rFonts w:ascii="宋体" w:hAnsi="宋体" w:eastAsia="宋体"/>
        </w:rPr>
        <w:t>最相似等级</w:t>
      </w:r>
      <w:r>
        <w:rPr>
          <w:rFonts w:hint="eastAsia" w:ascii="宋体" w:hAnsi="宋体" w:eastAsia="宋体"/>
        </w:rPr>
        <w:t>的条款</w:t>
      </w:r>
      <w:r>
        <w:rPr>
          <w:rFonts w:ascii="宋体" w:hAnsi="宋体" w:eastAsia="宋体"/>
        </w:rPr>
        <w:t>，确定其致残</w:t>
      </w:r>
      <w:r>
        <w:rPr>
          <w:rFonts w:hint="eastAsia" w:ascii="宋体" w:hAnsi="宋体" w:eastAsia="宋体"/>
        </w:rPr>
        <w:t>程度</w:t>
      </w:r>
      <w:r>
        <w:rPr>
          <w:rFonts w:ascii="宋体" w:hAnsi="宋体" w:eastAsia="宋体"/>
        </w:rPr>
        <w:t>等级。</w:t>
      </w:r>
      <w:bookmarkEnd w:id="142"/>
      <w:bookmarkEnd w:id="143"/>
    </w:p>
    <w:p>
      <w:pPr>
        <w:pStyle w:val="11"/>
        <w:spacing w:before="120" w:after="120"/>
        <w:ind w:left="210" w:right="210"/>
        <w:jc w:val="both"/>
        <w:rPr>
          <w:rFonts w:ascii="宋体" w:hAnsi="宋体" w:eastAsia="宋体"/>
        </w:rPr>
      </w:pPr>
      <w:bookmarkStart w:id="144" w:name="_Toc386380672"/>
      <w:bookmarkStart w:id="145" w:name="_Toc384919732"/>
      <w:r>
        <w:rPr>
          <w:rFonts w:ascii="宋体" w:hAnsi="宋体" w:eastAsia="宋体"/>
        </w:rPr>
        <w:t>同一部位和性质的</w:t>
      </w:r>
      <w:r>
        <w:rPr>
          <w:rFonts w:hint="eastAsia" w:ascii="宋体" w:hAnsi="宋体" w:eastAsia="宋体"/>
        </w:rPr>
        <w:t>残疾</w:t>
      </w:r>
      <w:r>
        <w:rPr>
          <w:rFonts w:ascii="宋体" w:hAnsi="宋体" w:eastAsia="宋体"/>
        </w:rPr>
        <w:t>，不应采用本标准条款两条以上</w:t>
      </w:r>
      <w:r>
        <w:rPr>
          <w:rFonts w:hint="eastAsia" w:ascii="宋体" w:hAnsi="宋体" w:eastAsia="宋体"/>
        </w:rPr>
        <w:t>或者同一条款两次以上</w:t>
      </w:r>
      <w:r>
        <w:rPr>
          <w:rFonts w:ascii="宋体" w:hAnsi="宋体" w:eastAsia="宋体"/>
        </w:rPr>
        <w:t>进行鉴定。</w:t>
      </w:r>
      <w:bookmarkEnd w:id="144"/>
      <w:bookmarkEnd w:id="145"/>
    </w:p>
    <w:p>
      <w:pPr>
        <w:pStyle w:val="11"/>
        <w:spacing w:before="120" w:after="120"/>
        <w:ind w:left="210" w:right="210"/>
        <w:jc w:val="both"/>
        <w:rPr>
          <w:rFonts w:hint="eastAsia" w:ascii="宋体" w:hAnsi="宋体" w:eastAsia="宋体"/>
        </w:rPr>
      </w:pPr>
      <w:bookmarkStart w:id="146" w:name="_Toc384919733"/>
      <w:bookmarkStart w:id="147" w:name="_Toc386380673"/>
      <w:r>
        <w:rPr>
          <w:rFonts w:hint="eastAsia" w:ascii="宋体" w:hAnsi="宋体" w:eastAsia="宋体"/>
        </w:rPr>
        <w:t>本标准中四肢大关节是指肩、肘、腕、髋、膝、踝等六大关节。</w:t>
      </w:r>
    </w:p>
    <w:p>
      <w:pPr>
        <w:pStyle w:val="11"/>
        <w:spacing w:before="120" w:after="120"/>
        <w:ind w:left="210" w:right="210"/>
        <w:jc w:val="both"/>
        <w:rPr>
          <w:rFonts w:hint="eastAsia" w:ascii="宋体" w:hAnsi="宋体" w:eastAsia="宋体"/>
        </w:rPr>
      </w:pPr>
      <w:r>
        <w:rPr>
          <w:rFonts w:hint="eastAsia" w:ascii="宋体" w:hAnsi="宋体" w:eastAsia="宋体"/>
        </w:rPr>
        <w:t>本标准中牙齿折断是指冠折1/2以上，或者牙齿部分缺失致牙髓腔暴露。</w:t>
      </w:r>
    </w:p>
    <w:p>
      <w:pPr>
        <w:pStyle w:val="11"/>
        <w:spacing w:before="120" w:after="120"/>
        <w:ind w:left="210" w:right="210"/>
        <w:jc w:val="both"/>
        <w:rPr>
          <w:rFonts w:ascii="宋体" w:hAnsi="宋体" w:eastAsia="宋体"/>
        </w:rPr>
      </w:pPr>
      <w:r>
        <w:rPr>
          <w:rFonts w:ascii="宋体" w:hAnsi="宋体" w:eastAsia="宋体"/>
        </w:rPr>
        <w:t>移植</w:t>
      </w:r>
      <w:r>
        <w:rPr>
          <w:rFonts w:hint="eastAsia" w:ascii="宋体" w:hAnsi="宋体" w:eastAsia="宋体"/>
        </w:rPr>
        <w:t>、再植</w:t>
      </w:r>
      <w:r>
        <w:rPr>
          <w:rFonts w:ascii="宋体" w:hAnsi="宋体" w:eastAsia="宋体"/>
        </w:rPr>
        <w:t>或者再造成活组织器官</w:t>
      </w:r>
      <w:r>
        <w:rPr>
          <w:rFonts w:hint="eastAsia" w:ascii="宋体" w:hAnsi="宋体" w:eastAsia="宋体"/>
        </w:rPr>
        <w:t>的</w:t>
      </w:r>
      <w:r>
        <w:rPr>
          <w:rFonts w:ascii="宋体" w:hAnsi="宋体" w:eastAsia="宋体"/>
        </w:rPr>
        <w:t>损伤应</w:t>
      </w:r>
      <w:r>
        <w:rPr>
          <w:rFonts w:hint="eastAsia" w:ascii="宋体" w:hAnsi="宋体" w:eastAsia="宋体"/>
        </w:rPr>
        <w:t>根据实际后遗功能障碍程度</w:t>
      </w:r>
      <w:r>
        <w:rPr>
          <w:rFonts w:ascii="宋体" w:hAnsi="宋体" w:eastAsia="宋体"/>
        </w:rPr>
        <w:t>参照相应</w:t>
      </w:r>
      <w:r>
        <w:rPr>
          <w:rFonts w:hint="eastAsia" w:ascii="宋体" w:hAnsi="宋体" w:eastAsia="宋体"/>
        </w:rPr>
        <w:t>分级</w:t>
      </w:r>
      <w:r>
        <w:rPr>
          <w:rFonts w:ascii="宋体" w:hAnsi="宋体" w:eastAsia="宋体"/>
        </w:rPr>
        <w:t>条款进行</w:t>
      </w:r>
      <w:r>
        <w:rPr>
          <w:rFonts w:hint="eastAsia" w:ascii="宋体" w:hAnsi="宋体" w:eastAsia="宋体"/>
        </w:rPr>
        <w:t>致</w:t>
      </w:r>
      <w:r>
        <w:rPr>
          <w:rFonts w:ascii="宋体" w:hAnsi="宋体" w:eastAsia="宋体"/>
        </w:rPr>
        <w:t>残</w:t>
      </w:r>
      <w:r>
        <w:rPr>
          <w:rFonts w:hint="eastAsia" w:ascii="宋体" w:hAnsi="宋体" w:eastAsia="宋体"/>
        </w:rPr>
        <w:t>程度等级</w:t>
      </w:r>
      <w:r>
        <w:rPr>
          <w:rFonts w:ascii="宋体" w:hAnsi="宋体" w:eastAsia="宋体"/>
        </w:rPr>
        <w:t>鉴定。</w:t>
      </w:r>
      <w:bookmarkEnd w:id="146"/>
      <w:bookmarkEnd w:id="147"/>
    </w:p>
    <w:p>
      <w:pPr>
        <w:pStyle w:val="11"/>
        <w:spacing w:before="120" w:after="120"/>
        <w:ind w:left="210" w:right="210"/>
        <w:jc w:val="both"/>
        <w:rPr>
          <w:rFonts w:hint="eastAsia" w:ascii="宋体" w:hAnsi="宋体" w:eastAsia="宋体"/>
        </w:rPr>
      </w:pPr>
      <w:bookmarkStart w:id="148" w:name="_Toc384919734"/>
      <w:bookmarkStart w:id="149" w:name="_Toc386380674"/>
      <w:r>
        <w:rPr>
          <w:rFonts w:ascii="宋体" w:hAnsi="宋体" w:eastAsia="宋体"/>
        </w:rPr>
        <w:t>永久性植入式假体（如颅骨修补材料、种植牙、人工支架等）损坏引起的功能障碍可参照相应</w:t>
      </w:r>
      <w:r>
        <w:rPr>
          <w:rFonts w:hint="eastAsia" w:ascii="宋体" w:hAnsi="宋体" w:eastAsia="宋体"/>
        </w:rPr>
        <w:t>分级</w:t>
      </w:r>
      <w:r>
        <w:rPr>
          <w:rFonts w:ascii="宋体" w:hAnsi="宋体" w:eastAsia="宋体"/>
        </w:rPr>
        <w:t>条款进行</w:t>
      </w:r>
      <w:r>
        <w:rPr>
          <w:rFonts w:hint="eastAsia" w:ascii="宋体" w:hAnsi="宋体" w:eastAsia="宋体"/>
        </w:rPr>
        <w:t>致</w:t>
      </w:r>
      <w:r>
        <w:rPr>
          <w:rFonts w:ascii="宋体" w:hAnsi="宋体" w:eastAsia="宋体"/>
        </w:rPr>
        <w:t>残</w:t>
      </w:r>
      <w:r>
        <w:rPr>
          <w:rFonts w:hint="eastAsia" w:ascii="宋体" w:hAnsi="宋体" w:eastAsia="宋体"/>
        </w:rPr>
        <w:t>程度</w:t>
      </w:r>
      <w:r>
        <w:rPr>
          <w:rFonts w:ascii="宋体" w:hAnsi="宋体" w:eastAsia="宋体"/>
        </w:rPr>
        <w:t>等级</w:t>
      </w:r>
      <w:r>
        <w:rPr>
          <w:rFonts w:hint="eastAsia" w:ascii="宋体" w:hAnsi="宋体" w:eastAsia="宋体"/>
        </w:rPr>
        <w:t>鉴定</w:t>
      </w:r>
      <w:r>
        <w:rPr>
          <w:rFonts w:ascii="宋体" w:hAnsi="宋体" w:eastAsia="宋体"/>
        </w:rPr>
        <w:t>。</w:t>
      </w:r>
      <w:bookmarkEnd w:id="148"/>
      <w:bookmarkEnd w:id="149"/>
    </w:p>
    <w:p>
      <w:pPr>
        <w:pStyle w:val="11"/>
        <w:spacing w:before="120" w:after="120"/>
        <w:ind w:left="210" w:leftChars="100" w:right="210"/>
        <w:jc w:val="both"/>
        <w:rPr>
          <w:rFonts w:hint="eastAsia" w:ascii="宋体" w:hAnsi="宋体" w:eastAsia="宋体"/>
        </w:rPr>
      </w:pPr>
      <w:r>
        <w:rPr>
          <w:rFonts w:hint="eastAsia" w:ascii="宋体" w:hAnsi="宋体" w:eastAsia="宋体"/>
        </w:rPr>
        <w:t>本标准中四肢重要神经是指臂丛及其分支神经（包括正中神经、尺神经、桡神经和肌皮神经等）和腰骶丛及其分支神经（包括坐骨神经、腓总神经和胫神经等）。</w:t>
      </w:r>
    </w:p>
    <w:p>
      <w:pPr>
        <w:pStyle w:val="11"/>
        <w:spacing w:before="120" w:after="120"/>
        <w:ind w:left="210" w:leftChars="100" w:right="210"/>
        <w:jc w:val="both"/>
        <w:rPr>
          <w:rFonts w:hAnsi="宋体"/>
        </w:rPr>
      </w:pPr>
      <w:r>
        <w:rPr>
          <w:rFonts w:hint="eastAsia" w:ascii="宋体" w:hAnsi="宋体" w:eastAsia="宋体"/>
        </w:rPr>
        <w:t>本标准中四肢重要血管是指与四肢重要神经伴行的同名动、静脉。</w:t>
      </w:r>
    </w:p>
    <w:p>
      <w:pPr>
        <w:pStyle w:val="11"/>
        <w:spacing w:before="120" w:after="120"/>
        <w:ind w:left="210" w:right="210"/>
        <w:jc w:val="both"/>
        <w:rPr>
          <w:rFonts w:hint="eastAsia" w:ascii="宋体" w:hAnsi="宋体" w:eastAsia="宋体"/>
        </w:rPr>
      </w:pPr>
      <w:bookmarkStart w:id="150" w:name="_Toc386380676"/>
      <w:bookmarkStart w:id="151" w:name="_Toc384919736"/>
      <w:r>
        <w:rPr>
          <w:rFonts w:hint="eastAsia" w:ascii="宋体" w:hAnsi="宋体" w:eastAsia="宋体"/>
        </w:rPr>
        <w:t>精神分裂症或者心境障碍等内源性疾病不是外界致伤因素直接作用所致，不宜作为致残程度等级鉴定的依据，但应对外界致伤因素与疾病之间的因果关系进行说明。</w:t>
      </w:r>
    </w:p>
    <w:bookmarkEnd w:id="150"/>
    <w:bookmarkEnd w:id="151"/>
    <w:p>
      <w:pPr>
        <w:pStyle w:val="11"/>
        <w:spacing w:before="120" w:after="120"/>
        <w:ind w:left="210" w:right="210"/>
        <w:jc w:val="both"/>
        <w:rPr>
          <w:rFonts w:ascii="宋体" w:hAnsi="宋体" w:eastAsia="宋体"/>
        </w:rPr>
      </w:pPr>
      <w:bookmarkStart w:id="152" w:name="_Toc386380677"/>
      <w:bookmarkStart w:id="153" w:name="_Toc384919737"/>
      <w:r>
        <w:rPr>
          <w:rFonts w:ascii="宋体" w:hAnsi="宋体" w:eastAsia="宋体"/>
        </w:rPr>
        <w:t>本标准所指未成年人是指年龄未满18周岁</w:t>
      </w:r>
      <w:r>
        <w:rPr>
          <w:rFonts w:hint="eastAsia" w:ascii="宋体" w:hAnsi="宋体" w:eastAsia="宋体"/>
        </w:rPr>
        <w:t>者</w:t>
      </w:r>
      <w:r>
        <w:rPr>
          <w:rFonts w:ascii="宋体" w:hAnsi="宋体" w:eastAsia="宋体"/>
        </w:rPr>
        <w:t>。</w:t>
      </w:r>
      <w:bookmarkEnd w:id="152"/>
      <w:bookmarkEnd w:id="153"/>
    </w:p>
    <w:p>
      <w:pPr>
        <w:pStyle w:val="11"/>
        <w:tabs>
          <w:tab w:val="left" w:pos="8820"/>
        </w:tabs>
        <w:spacing w:before="120" w:after="120"/>
        <w:ind w:left="210" w:right="210"/>
        <w:jc w:val="both"/>
        <w:rPr>
          <w:rFonts w:ascii="宋体" w:hAnsi="宋体" w:eastAsia="宋体"/>
        </w:rPr>
      </w:pPr>
      <w:bookmarkStart w:id="154" w:name="_Toc384919738"/>
      <w:bookmarkStart w:id="155" w:name="_Toc386380678"/>
      <w:r>
        <w:rPr>
          <w:rFonts w:hint="eastAsia" w:ascii="宋体" w:hAnsi="宋体" w:eastAsia="宋体"/>
        </w:rPr>
        <w:t>本标准中涉及</w:t>
      </w:r>
      <w:r>
        <w:rPr>
          <w:rFonts w:ascii="宋体" w:hAnsi="宋体" w:eastAsia="宋体"/>
        </w:rPr>
        <w:t>面部瘢痕</w:t>
      </w:r>
      <w:r>
        <w:rPr>
          <w:rFonts w:hint="eastAsia" w:ascii="宋体" w:hAnsi="宋体" w:eastAsia="宋体"/>
        </w:rPr>
        <w:t>致残程度需测量长度或者面积的数值时，0～6周岁者按标准规定值5</w:t>
      </w:r>
      <w:r>
        <w:rPr>
          <w:rFonts w:ascii="宋体" w:hAnsi="宋体" w:eastAsia="宋体"/>
        </w:rPr>
        <w:t>0%</w:t>
      </w:r>
      <w:r>
        <w:rPr>
          <w:rFonts w:hint="eastAsia" w:ascii="宋体" w:hAnsi="宋体" w:eastAsia="宋体"/>
        </w:rPr>
        <w:t>计，7～</w:t>
      </w:r>
      <w:r>
        <w:rPr>
          <w:rFonts w:ascii="宋体" w:hAnsi="宋体" w:eastAsia="宋体"/>
        </w:rPr>
        <w:t>14周岁</w:t>
      </w:r>
      <w:r>
        <w:rPr>
          <w:rFonts w:hint="eastAsia" w:ascii="宋体" w:hAnsi="宋体" w:eastAsia="宋体"/>
        </w:rPr>
        <w:t>者按</w:t>
      </w:r>
      <w:r>
        <w:rPr>
          <w:rFonts w:ascii="宋体" w:hAnsi="宋体" w:eastAsia="宋体"/>
        </w:rPr>
        <w:t>80%</w:t>
      </w:r>
      <w:r>
        <w:rPr>
          <w:rFonts w:hint="eastAsia" w:ascii="宋体" w:hAnsi="宋体" w:eastAsia="宋体"/>
        </w:rPr>
        <w:t>计</w:t>
      </w:r>
      <w:r>
        <w:rPr>
          <w:rFonts w:ascii="宋体" w:hAnsi="宋体" w:eastAsia="宋体"/>
        </w:rPr>
        <w:t>。</w:t>
      </w:r>
      <w:bookmarkEnd w:id="154"/>
      <w:bookmarkEnd w:id="155"/>
    </w:p>
    <w:p>
      <w:pPr>
        <w:pStyle w:val="11"/>
        <w:spacing w:before="120" w:after="120"/>
        <w:ind w:left="210" w:right="210"/>
        <w:rPr>
          <w:rFonts w:ascii="宋体" w:hAnsi="宋体" w:eastAsia="宋体"/>
        </w:rPr>
      </w:pPr>
      <w:bookmarkStart w:id="156" w:name="_Toc384919739"/>
      <w:bookmarkStart w:id="157" w:name="_Toc386380679"/>
      <w:r>
        <w:rPr>
          <w:rFonts w:ascii="宋体" w:hAnsi="宋体" w:eastAsia="宋体"/>
        </w:rPr>
        <w:t>本标准中凡涉及数量</w:t>
      </w:r>
      <w:r>
        <w:rPr>
          <w:rFonts w:hint="eastAsia" w:ascii="宋体" w:hAnsi="宋体" w:eastAsia="宋体"/>
        </w:rPr>
        <w:t>、部位</w:t>
      </w:r>
      <w:r>
        <w:rPr>
          <w:rFonts w:ascii="宋体" w:hAnsi="宋体" w:eastAsia="宋体"/>
        </w:rPr>
        <w:t>规定时</w:t>
      </w:r>
      <w:r>
        <w:rPr>
          <w:rFonts w:hint="eastAsia" w:ascii="宋体" w:hAnsi="宋体" w:eastAsia="宋体"/>
        </w:rPr>
        <w:t>，</w:t>
      </w:r>
      <w:r>
        <w:rPr>
          <w:rFonts w:ascii="宋体" w:hAnsi="宋体" w:eastAsia="宋体"/>
        </w:rPr>
        <w:t>注明“以上”、“以下”者，均包</w:t>
      </w:r>
      <w:r>
        <w:rPr>
          <w:rFonts w:hint="eastAsia" w:ascii="宋体" w:hAnsi="宋体" w:eastAsia="宋体"/>
        </w:rPr>
        <w:t>含</w:t>
      </w:r>
      <w:r>
        <w:rPr>
          <w:rFonts w:ascii="宋体" w:hAnsi="宋体" w:eastAsia="宋体"/>
        </w:rPr>
        <w:t>本数（</w:t>
      </w:r>
      <w:r>
        <w:rPr>
          <w:rFonts w:hint="eastAsia" w:ascii="宋体" w:hAnsi="宋体" w:eastAsia="宋体"/>
        </w:rPr>
        <w:t>有</w:t>
      </w:r>
      <w:r>
        <w:rPr>
          <w:rFonts w:ascii="宋体" w:hAnsi="宋体" w:eastAsia="宋体"/>
        </w:rPr>
        <w:t>特别说明</w:t>
      </w:r>
      <w:r>
        <w:rPr>
          <w:rFonts w:hint="eastAsia" w:ascii="宋体" w:hAnsi="宋体" w:eastAsia="宋体"/>
        </w:rPr>
        <w:t>的除外</w:t>
      </w:r>
      <w:r>
        <w:rPr>
          <w:rFonts w:ascii="宋体" w:hAnsi="宋体" w:eastAsia="宋体"/>
        </w:rPr>
        <w:t>）。</w:t>
      </w:r>
      <w:bookmarkEnd w:id="156"/>
      <w:bookmarkEnd w:id="157"/>
    </w:p>
    <w:p>
      <w:pPr>
        <w:pStyle w:val="10"/>
        <w:spacing w:line="400" w:lineRule="exact"/>
        <w:ind w:left="283" w:leftChars="135" w:firstLine="283" w:firstLineChars="135"/>
        <w:rPr>
          <w:rFonts w:hint="eastAsia"/>
        </w:rPr>
      </w:pPr>
    </w:p>
    <w:p>
      <w:pPr>
        <w:widowControl/>
        <w:jc w:val="left"/>
        <w:rPr>
          <w:rFonts w:ascii="Times New Roman" w:hAnsi="Times New Roman" w:eastAsia="黑体"/>
          <w:kern w:val="0"/>
          <w:sz w:val="28"/>
          <w:szCs w:val="28"/>
        </w:rPr>
      </w:pPr>
      <w:r>
        <w:br w:type="page"/>
      </w:r>
    </w:p>
    <w:p>
      <w:pPr>
        <w:pStyle w:val="14"/>
        <w:ind w:left="0"/>
        <w:rPr>
          <w:rFonts w:hint="eastAsia"/>
        </w:rPr>
      </w:pPr>
      <w:r>
        <w:br w:type="textWrapping"/>
      </w:r>
      <w:bookmarkStart w:id="158" w:name="_Toc386380680"/>
      <w:bookmarkStart w:id="159" w:name="_Toc384919740"/>
      <w:r>
        <w:rPr>
          <w:rFonts w:hint="eastAsia"/>
        </w:rPr>
        <w:t>（规范性附录）</w:t>
      </w:r>
      <w:r>
        <w:br w:type="textWrapping"/>
      </w:r>
      <w:r>
        <w:rPr>
          <w:rFonts w:hint="eastAsia"/>
        </w:rPr>
        <w:t>致残程度等级划分依据</w:t>
      </w:r>
      <w:bookmarkEnd w:id="158"/>
      <w:bookmarkEnd w:id="159"/>
    </w:p>
    <w:p>
      <w:pPr>
        <w:pStyle w:val="15"/>
        <w:spacing w:before="240" w:after="240"/>
        <w:ind w:left="0"/>
      </w:pPr>
      <w:bookmarkStart w:id="160" w:name="_Toc384919741"/>
      <w:bookmarkStart w:id="161" w:name="_Toc386380681"/>
      <w:r>
        <w:t>一级残疾的划分依据</w:t>
      </w:r>
      <w:bookmarkEnd w:id="160"/>
      <w:bookmarkEnd w:id="161"/>
    </w:p>
    <w:p>
      <w:pPr>
        <w:pStyle w:val="16"/>
        <w:numPr>
          <w:ilvl w:val="0"/>
          <w:numId w:val="68"/>
        </w:numPr>
        <w:tabs>
          <w:tab w:val="left" w:pos="839"/>
        </w:tabs>
      </w:pPr>
      <w:r>
        <w:t>组织器官缺失或者功能完全丧失，其他器官不能代偿；</w:t>
      </w:r>
    </w:p>
    <w:p>
      <w:pPr>
        <w:pStyle w:val="16"/>
      </w:pPr>
      <w:r>
        <w:t>存在特殊医疗依赖；</w:t>
      </w:r>
    </w:p>
    <w:p>
      <w:pPr>
        <w:pStyle w:val="16"/>
      </w:pPr>
      <w:r>
        <w:t>意识丧失；</w:t>
      </w:r>
    </w:p>
    <w:p>
      <w:pPr>
        <w:pStyle w:val="16"/>
      </w:pPr>
      <w:r>
        <w:t>日常生活完全不能自理；</w:t>
      </w:r>
    </w:p>
    <w:p>
      <w:pPr>
        <w:pStyle w:val="16"/>
        <w:rPr>
          <w:rFonts w:hint="eastAsia"/>
        </w:rPr>
      </w:pPr>
      <w:r>
        <w:t>社会</w:t>
      </w:r>
      <w:r>
        <w:rPr>
          <w:rFonts w:hint="eastAsia"/>
        </w:rPr>
        <w:t>交往</w:t>
      </w:r>
      <w:r>
        <w:t>完全丧失。</w:t>
      </w:r>
    </w:p>
    <w:p>
      <w:pPr>
        <w:pStyle w:val="15"/>
        <w:spacing w:before="240" w:after="240"/>
        <w:ind w:left="0"/>
        <w:rPr>
          <w:rFonts w:eastAsia="Times New Roman"/>
        </w:rPr>
      </w:pPr>
      <w:bookmarkStart w:id="162" w:name="_Toc384919742"/>
      <w:bookmarkStart w:id="163" w:name="_Toc386380682"/>
      <w:r>
        <w:t>二级残疾的划分依据</w:t>
      </w:r>
      <w:bookmarkEnd w:id="162"/>
      <w:bookmarkEnd w:id="163"/>
    </w:p>
    <w:p>
      <w:pPr>
        <w:pStyle w:val="16"/>
        <w:numPr>
          <w:ilvl w:val="0"/>
          <w:numId w:val="69"/>
        </w:numPr>
        <w:tabs>
          <w:tab w:val="left" w:pos="839"/>
        </w:tabs>
      </w:pPr>
      <w:r>
        <w:t>组织器官严重缺损或者畸形，有严重功能障碍，其他器官</w:t>
      </w:r>
      <w:r>
        <w:rPr>
          <w:rFonts w:hint="eastAsia"/>
        </w:rPr>
        <w:t>难以</w:t>
      </w:r>
      <w:r>
        <w:t>代偿；</w:t>
      </w:r>
    </w:p>
    <w:p>
      <w:pPr>
        <w:pStyle w:val="16"/>
      </w:pPr>
      <w:r>
        <w:t>存在特殊医疗依赖；</w:t>
      </w:r>
    </w:p>
    <w:p>
      <w:pPr>
        <w:pStyle w:val="16"/>
      </w:pPr>
      <w:r>
        <w:t>日常生活大部分不能自理；</w:t>
      </w:r>
    </w:p>
    <w:p>
      <w:pPr>
        <w:pStyle w:val="16"/>
      </w:pPr>
      <w:r>
        <w:t>各种活动严重受限，仅限于床上或者椅子上</w:t>
      </w:r>
      <w:r>
        <w:rPr>
          <w:rFonts w:hint="eastAsia"/>
        </w:rPr>
        <w:t>的</w:t>
      </w:r>
      <w:r>
        <w:t>活动；</w:t>
      </w:r>
    </w:p>
    <w:p>
      <w:pPr>
        <w:pStyle w:val="16"/>
      </w:pPr>
      <w:r>
        <w:t>社会交往</w:t>
      </w:r>
      <w:r>
        <w:rPr>
          <w:rFonts w:hint="eastAsia"/>
        </w:rPr>
        <w:t>基本丧失</w:t>
      </w:r>
      <w:r>
        <w:t>。</w:t>
      </w:r>
    </w:p>
    <w:p>
      <w:pPr>
        <w:pStyle w:val="15"/>
        <w:spacing w:before="240" w:after="240"/>
        <w:ind w:left="0"/>
      </w:pPr>
      <w:bookmarkStart w:id="164" w:name="_Toc386380683"/>
      <w:bookmarkStart w:id="165" w:name="_Toc384919743"/>
      <w:r>
        <w:t>三级残疾的划分依据</w:t>
      </w:r>
      <w:bookmarkEnd w:id="164"/>
      <w:bookmarkEnd w:id="165"/>
    </w:p>
    <w:p>
      <w:pPr>
        <w:pStyle w:val="16"/>
        <w:numPr>
          <w:ilvl w:val="0"/>
          <w:numId w:val="70"/>
        </w:numPr>
        <w:tabs>
          <w:tab w:val="left" w:pos="839"/>
        </w:tabs>
      </w:pPr>
      <w:r>
        <w:t>组织器官严重缺损或者畸形，有严重功能障碍；</w:t>
      </w:r>
    </w:p>
    <w:p>
      <w:pPr>
        <w:pStyle w:val="16"/>
      </w:pPr>
      <w:r>
        <w:t>存在特殊医疗依赖；</w:t>
      </w:r>
    </w:p>
    <w:p>
      <w:pPr>
        <w:pStyle w:val="16"/>
      </w:pPr>
      <w:r>
        <w:t>日常生活大部分</w:t>
      </w:r>
      <w:r>
        <w:rPr>
          <w:rFonts w:hint="eastAsia"/>
        </w:rPr>
        <w:t>或者部分</w:t>
      </w:r>
      <w:r>
        <w:t>不能自理；</w:t>
      </w:r>
    </w:p>
    <w:p>
      <w:pPr>
        <w:pStyle w:val="16"/>
      </w:pPr>
      <w:r>
        <w:t>各种活动严重受限，仅限于室内的活动；</w:t>
      </w:r>
    </w:p>
    <w:p>
      <w:pPr>
        <w:pStyle w:val="16"/>
      </w:pPr>
      <w:r>
        <w:t>社会交往极度困难。</w:t>
      </w:r>
    </w:p>
    <w:p>
      <w:pPr>
        <w:pStyle w:val="15"/>
        <w:spacing w:before="240" w:after="240"/>
        <w:ind w:left="0"/>
      </w:pPr>
      <w:bookmarkStart w:id="166" w:name="_Toc386380684"/>
      <w:bookmarkStart w:id="167" w:name="_Toc384919744"/>
      <w:r>
        <w:t>四级残疾的划分依据</w:t>
      </w:r>
      <w:bookmarkEnd w:id="166"/>
      <w:bookmarkEnd w:id="167"/>
    </w:p>
    <w:p>
      <w:pPr>
        <w:pStyle w:val="16"/>
        <w:numPr>
          <w:ilvl w:val="0"/>
          <w:numId w:val="71"/>
        </w:numPr>
        <w:tabs>
          <w:tab w:val="left" w:pos="839"/>
        </w:tabs>
      </w:pPr>
      <w:r>
        <w:t>组织器官严重缺损或者畸形，有重度功能障碍；</w:t>
      </w:r>
    </w:p>
    <w:p>
      <w:pPr>
        <w:pStyle w:val="16"/>
      </w:pPr>
      <w:r>
        <w:t>存在特殊医疗依赖</w:t>
      </w:r>
      <w:r>
        <w:rPr>
          <w:rFonts w:hint="eastAsia"/>
        </w:rPr>
        <w:t>或者一般医疗依赖</w:t>
      </w:r>
      <w:r>
        <w:t>；</w:t>
      </w:r>
    </w:p>
    <w:p>
      <w:pPr>
        <w:pStyle w:val="16"/>
      </w:pPr>
      <w:r>
        <w:t>日常生活能力严重受限，间或需要帮助；</w:t>
      </w:r>
    </w:p>
    <w:p>
      <w:pPr>
        <w:pStyle w:val="16"/>
      </w:pPr>
      <w:r>
        <w:t>各种活动严重受限，仅限于居住范围内的活动；</w:t>
      </w:r>
    </w:p>
    <w:p>
      <w:pPr>
        <w:pStyle w:val="16"/>
      </w:pPr>
      <w:r>
        <w:t>社会交往</w:t>
      </w:r>
      <w:r>
        <w:rPr>
          <w:rFonts w:hint="eastAsia"/>
        </w:rPr>
        <w:t>困难</w:t>
      </w:r>
      <w:r>
        <w:t>。</w:t>
      </w:r>
    </w:p>
    <w:p>
      <w:pPr>
        <w:pStyle w:val="15"/>
        <w:spacing w:before="240" w:after="240"/>
        <w:ind w:left="0"/>
      </w:pPr>
      <w:bookmarkStart w:id="168" w:name="_Toc386380685"/>
      <w:bookmarkStart w:id="169" w:name="_Toc384919745"/>
      <w:r>
        <w:t>五级残疾的划分依据</w:t>
      </w:r>
      <w:bookmarkEnd w:id="168"/>
      <w:bookmarkEnd w:id="169"/>
    </w:p>
    <w:p>
      <w:pPr>
        <w:pStyle w:val="16"/>
        <w:numPr>
          <w:ilvl w:val="0"/>
          <w:numId w:val="72"/>
        </w:numPr>
        <w:tabs>
          <w:tab w:val="left" w:pos="839"/>
        </w:tabs>
      </w:pPr>
      <w:r>
        <w:t>组织器官大部分缺损或者明显畸形，有中度</w:t>
      </w:r>
      <w:r>
        <w:rPr>
          <w:rFonts w:hint="eastAsia"/>
        </w:rPr>
        <w:t>（偏重）</w:t>
      </w:r>
      <w:r>
        <w:t>功能障碍；</w:t>
      </w:r>
    </w:p>
    <w:p>
      <w:pPr>
        <w:pStyle w:val="16"/>
      </w:pPr>
      <w:r>
        <w:t>存在一般医疗依赖；</w:t>
      </w:r>
    </w:p>
    <w:p>
      <w:pPr>
        <w:pStyle w:val="16"/>
      </w:pPr>
      <w:r>
        <w:t>日常生活能力部分受限，偶尔需要帮助；</w:t>
      </w:r>
    </w:p>
    <w:p>
      <w:pPr>
        <w:pStyle w:val="16"/>
      </w:pPr>
      <w:r>
        <w:t>各种活动中度受限，仅限于就近的活动；</w:t>
      </w:r>
    </w:p>
    <w:p>
      <w:pPr>
        <w:pStyle w:val="16"/>
      </w:pPr>
      <w:r>
        <w:t>社会交往严重受限。</w:t>
      </w:r>
    </w:p>
    <w:p>
      <w:pPr>
        <w:pStyle w:val="15"/>
        <w:spacing w:before="240" w:after="240"/>
        <w:ind w:left="0"/>
      </w:pPr>
      <w:bookmarkStart w:id="170" w:name="_Toc386380686"/>
      <w:bookmarkStart w:id="171" w:name="_Toc384919746"/>
      <w:r>
        <w:t>六级残疾的划分依据</w:t>
      </w:r>
      <w:bookmarkEnd w:id="170"/>
      <w:bookmarkEnd w:id="171"/>
    </w:p>
    <w:p>
      <w:pPr>
        <w:pStyle w:val="16"/>
        <w:numPr>
          <w:ilvl w:val="0"/>
          <w:numId w:val="73"/>
        </w:numPr>
        <w:tabs>
          <w:tab w:val="left" w:pos="839"/>
        </w:tabs>
      </w:pPr>
      <w:r>
        <w:t>组织器官大部分缺损或者明显畸形，有中度功能障碍；</w:t>
      </w:r>
    </w:p>
    <w:p>
      <w:pPr>
        <w:pStyle w:val="16"/>
      </w:pPr>
      <w:r>
        <w:t>存在一般医疗依赖；</w:t>
      </w:r>
    </w:p>
    <w:p>
      <w:pPr>
        <w:pStyle w:val="16"/>
      </w:pPr>
      <w:r>
        <w:t>日常生活能力部分受限，但能部分代偿，条件性需要帮助；</w:t>
      </w:r>
    </w:p>
    <w:p>
      <w:pPr>
        <w:pStyle w:val="16"/>
      </w:pPr>
      <w:r>
        <w:t>各种活动中度受限，活动能力降低；</w:t>
      </w:r>
    </w:p>
    <w:p>
      <w:pPr>
        <w:pStyle w:val="16"/>
      </w:pPr>
      <w:r>
        <w:t>社会</w:t>
      </w:r>
      <w:r>
        <w:rPr>
          <w:rFonts w:hint="eastAsia"/>
        </w:rPr>
        <w:t>交往贫乏或者</w:t>
      </w:r>
      <w:r>
        <w:t>狭窄。</w:t>
      </w:r>
    </w:p>
    <w:p>
      <w:pPr>
        <w:pStyle w:val="15"/>
        <w:spacing w:before="240" w:after="240"/>
        <w:ind w:left="0"/>
        <w:rPr>
          <w:rFonts w:eastAsia="Times New Roman"/>
        </w:rPr>
      </w:pPr>
      <w:bookmarkStart w:id="172" w:name="_Toc384919747"/>
      <w:bookmarkStart w:id="173" w:name="_Toc386380687"/>
      <w:r>
        <w:t>七级残疾的划分依据</w:t>
      </w:r>
      <w:bookmarkEnd w:id="172"/>
      <w:bookmarkEnd w:id="173"/>
    </w:p>
    <w:p>
      <w:pPr>
        <w:pStyle w:val="16"/>
        <w:numPr>
          <w:ilvl w:val="0"/>
          <w:numId w:val="74"/>
        </w:numPr>
        <w:tabs>
          <w:tab w:val="left" w:pos="839"/>
        </w:tabs>
      </w:pPr>
      <w:r>
        <w:t>组织器官大部分缺损或者</w:t>
      </w:r>
      <w:r>
        <w:rPr>
          <w:rFonts w:hint="eastAsia"/>
        </w:rPr>
        <w:t>明显</w:t>
      </w:r>
      <w:r>
        <w:t>畸形，有中度</w:t>
      </w:r>
      <w:r>
        <w:rPr>
          <w:rFonts w:hint="eastAsia"/>
        </w:rPr>
        <w:t>（偏轻）</w:t>
      </w:r>
      <w:r>
        <w:t>功能障碍；</w:t>
      </w:r>
    </w:p>
    <w:p>
      <w:pPr>
        <w:pStyle w:val="16"/>
      </w:pPr>
      <w:r>
        <w:t>存在一般医疗依赖，无护理依赖；</w:t>
      </w:r>
    </w:p>
    <w:p>
      <w:pPr>
        <w:pStyle w:val="16"/>
      </w:pPr>
      <w:r>
        <w:t>日常生活有关的活动能力</w:t>
      </w:r>
      <w:r>
        <w:rPr>
          <w:rFonts w:hint="eastAsia"/>
        </w:rPr>
        <w:t>极重度</w:t>
      </w:r>
      <w:r>
        <w:t>受限；</w:t>
      </w:r>
    </w:p>
    <w:p>
      <w:pPr>
        <w:pStyle w:val="16"/>
      </w:pPr>
      <w:r>
        <w:t>各种活动中度受限，短暂活动不受限，长时间活动受限；</w:t>
      </w:r>
    </w:p>
    <w:p>
      <w:pPr>
        <w:pStyle w:val="16"/>
      </w:pPr>
      <w:r>
        <w:t>社会</w:t>
      </w:r>
      <w:r>
        <w:rPr>
          <w:rFonts w:hint="eastAsia"/>
        </w:rPr>
        <w:t>交往</w:t>
      </w:r>
      <w:r>
        <w:t>能力降低。</w:t>
      </w:r>
    </w:p>
    <w:p>
      <w:pPr>
        <w:pStyle w:val="15"/>
        <w:spacing w:before="240" w:after="240"/>
        <w:ind w:left="2"/>
      </w:pPr>
      <w:bookmarkStart w:id="174" w:name="_Toc384919748"/>
      <w:bookmarkStart w:id="175" w:name="_Toc386380688"/>
      <w:r>
        <w:t>八级残疾的划分依据</w:t>
      </w:r>
      <w:bookmarkEnd w:id="174"/>
      <w:bookmarkEnd w:id="175"/>
    </w:p>
    <w:p>
      <w:pPr>
        <w:pStyle w:val="16"/>
        <w:numPr>
          <w:ilvl w:val="0"/>
          <w:numId w:val="75"/>
        </w:numPr>
        <w:tabs>
          <w:tab w:val="left" w:pos="839"/>
        </w:tabs>
      </w:pPr>
      <w:r>
        <w:t>组织器官部分缺损或者畸形，</w:t>
      </w:r>
      <w:r>
        <w:rPr>
          <w:rFonts w:hint="eastAsia"/>
        </w:rPr>
        <w:t>有</w:t>
      </w:r>
      <w:r>
        <w:t>轻度功能障碍</w:t>
      </w:r>
      <w:r>
        <w:rPr>
          <w:rFonts w:hint="eastAsia"/>
        </w:rPr>
        <w:t>，并造成明显影响</w:t>
      </w:r>
      <w:r>
        <w:t>；</w:t>
      </w:r>
    </w:p>
    <w:p>
      <w:pPr>
        <w:pStyle w:val="16"/>
      </w:pPr>
      <w:r>
        <w:t>存在一般医疗依赖，无护理依赖；</w:t>
      </w:r>
    </w:p>
    <w:p>
      <w:pPr>
        <w:pStyle w:val="16"/>
      </w:pPr>
      <w:r>
        <w:t>日常生活有关的活动能力重度受限；</w:t>
      </w:r>
    </w:p>
    <w:p>
      <w:pPr>
        <w:pStyle w:val="16"/>
      </w:pPr>
      <w:r>
        <w:t>各种活动轻度受限，远距离活动受限；</w:t>
      </w:r>
    </w:p>
    <w:p>
      <w:pPr>
        <w:pStyle w:val="16"/>
      </w:pPr>
      <w:r>
        <w:t>社会</w:t>
      </w:r>
      <w:r>
        <w:rPr>
          <w:rFonts w:hint="eastAsia"/>
        </w:rPr>
        <w:t>交往</w:t>
      </w:r>
      <w:r>
        <w:t>受约束。</w:t>
      </w:r>
    </w:p>
    <w:p>
      <w:pPr>
        <w:pStyle w:val="15"/>
        <w:spacing w:before="240" w:after="240"/>
        <w:ind w:left="0"/>
      </w:pPr>
      <w:bookmarkStart w:id="176" w:name="_Toc384919749"/>
      <w:bookmarkStart w:id="177" w:name="_Toc386380689"/>
      <w:r>
        <w:t>九级残疾的划分依据</w:t>
      </w:r>
      <w:bookmarkEnd w:id="176"/>
      <w:bookmarkEnd w:id="177"/>
    </w:p>
    <w:p>
      <w:pPr>
        <w:pStyle w:val="16"/>
        <w:numPr>
          <w:ilvl w:val="0"/>
          <w:numId w:val="76"/>
        </w:numPr>
        <w:tabs>
          <w:tab w:val="left" w:pos="839"/>
        </w:tabs>
      </w:pPr>
      <w:r>
        <w:t>组织器官</w:t>
      </w:r>
      <w:r>
        <w:rPr>
          <w:rFonts w:hint="eastAsia"/>
        </w:rPr>
        <w:t>部分</w:t>
      </w:r>
      <w:r>
        <w:t>缺损或者畸形，</w:t>
      </w:r>
      <w:r>
        <w:rPr>
          <w:rFonts w:hint="eastAsia"/>
        </w:rPr>
        <w:t>有</w:t>
      </w:r>
      <w:r>
        <w:t>轻度功能障碍</w:t>
      </w:r>
      <w:r>
        <w:rPr>
          <w:rFonts w:hint="eastAsia"/>
        </w:rPr>
        <w:t>，并造成较明显影响</w:t>
      </w:r>
      <w:r>
        <w:t>；</w:t>
      </w:r>
    </w:p>
    <w:p>
      <w:pPr>
        <w:pStyle w:val="16"/>
      </w:pPr>
      <w:r>
        <w:t>无医疗依赖或者存在一般医疗依赖，无护理依赖；</w:t>
      </w:r>
    </w:p>
    <w:p>
      <w:pPr>
        <w:pStyle w:val="16"/>
      </w:pPr>
      <w:r>
        <w:t>日常生活有关的活动能力中度受限；</w:t>
      </w:r>
    </w:p>
    <w:p>
      <w:pPr>
        <w:pStyle w:val="16"/>
      </w:pPr>
      <w:r>
        <w:t>工作与学习能力下降；</w:t>
      </w:r>
    </w:p>
    <w:p>
      <w:pPr>
        <w:pStyle w:val="16"/>
      </w:pPr>
      <w:r>
        <w:t>社会</w:t>
      </w:r>
      <w:r>
        <w:rPr>
          <w:rFonts w:hint="eastAsia"/>
        </w:rPr>
        <w:t>交往</w:t>
      </w:r>
      <w:r>
        <w:t>能力部分受限。</w:t>
      </w:r>
    </w:p>
    <w:p>
      <w:pPr>
        <w:pStyle w:val="15"/>
        <w:spacing w:before="240" w:after="240"/>
        <w:ind w:left="0"/>
      </w:pPr>
      <w:bookmarkStart w:id="178" w:name="_Toc384919750"/>
      <w:bookmarkStart w:id="179" w:name="_Toc386380690"/>
      <w:r>
        <w:t>十级残疾的划分依据</w:t>
      </w:r>
      <w:bookmarkEnd w:id="178"/>
      <w:bookmarkEnd w:id="179"/>
    </w:p>
    <w:p>
      <w:pPr>
        <w:pStyle w:val="16"/>
        <w:numPr>
          <w:ilvl w:val="0"/>
          <w:numId w:val="77"/>
        </w:numPr>
        <w:tabs>
          <w:tab w:val="left" w:pos="839"/>
        </w:tabs>
      </w:pPr>
      <w:r>
        <w:t>组织器官部分缺损或者畸形，</w:t>
      </w:r>
      <w:r>
        <w:rPr>
          <w:rFonts w:hint="eastAsia"/>
        </w:rPr>
        <w:t>有</w:t>
      </w:r>
      <w:r>
        <w:t>轻度功能障碍</w:t>
      </w:r>
      <w:r>
        <w:rPr>
          <w:rFonts w:hint="eastAsia"/>
        </w:rPr>
        <w:t>，并造成一定影响；</w:t>
      </w:r>
    </w:p>
    <w:p>
      <w:pPr>
        <w:pStyle w:val="16"/>
      </w:pPr>
      <w:r>
        <w:t>无医疗依赖或者存在一般医疗依赖，无护理依赖；</w:t>
      </w:r>
    </w:p>
    <w:p>
      <w:pPr>
        <w:pStyle w:val="16"/>
      </w:pPr>
      <w:r>
        <w:t>日常生活有关的活动能力轻度受限</w:t>
      </w:r>
      <w:r>
        <w:rPr>
          <w:rFonts w:hint="eastAsia"/>
        </w:rPr>
        <w:t>；</w:t>
      </w:r>
    </w:p>
    <w:p>
      <w:pPr>
        <w:pStyle w:val="16"/>
      </w:pPr>
      <w:r>
        <w:t>工作与学习能力受到一定影响</w:t>
      </w:r>
      <w:r>
        <w:rPr>
          <w:rFonts w:hint="eastAsia"/>
        </w:rPr>
        <w:t>；</w:t>
      </w:r>
    </w:p>
    <w:p>
      <w:pPr>
        <w:pStyle w:val="16"/>
      </w:pPr>
      <w:r>
        <w:t>社会</w:t>
      </w:r>
      <w:r>
        <w:rPr>
          <w:rFonts w:hint="eastAsia"/>
        </w:rPr>
        <w:t>交往</w:t>
      </w:r>
      <w:r>
        <w:t>能力</w:t>
      </w:r>
      <w:r>
        <w:rPr>
          <w:rFonts w:hint="eastAsia"/>
        </w:rPr>
        <w:t>轻度受限</w:t>
      </w:r>
      <w:r>
        <w:t>。</w:t>
      </w:r>
      <w:r>
        <w:br w:type="page"/>
      </w:r>
    </w:p>
    <w:p>
      <w:pPr>
        <w:pStyle w:val="14"/>
        <w:ind w:left="2"/>
        <w:rPr>
          <w:rFonts w:hint="eastAsia"/>
        </w:rPr>
      </w:pPr>
      <w:r>
        <w:rPr>
          <w:rFonts w:hint="eastAsia"/>
        </w:rPr>
        <w:br w:type="textWrapping"/>
      </w:r>
      <w:bookmarkStart w:id="180" w:name="_Toc228161531"/>
      <w:r>
        <w:rPr>
          <w:rFonts w:hint="eastAsia"/>
        </w:rPr>
        <w:t>（资料性附录）</w:t>
      </w:r>
      <w:r>
        <w:rPr>
          <w:rFonts w:hint="eastAsia"/>
        </w:rPr>
        <w:br w:type="textWrapping"/>
      </w:r>
      <w:r>
        <w:rPr>
          <w:rFonts w:hint="eastAsia"/>
        </w:rPr>
        <w:t>器官功能分级判定基准</w:t>
      </w:r>
      <w:bookmarkEnd w:id="180"/>
      <w:r>
        <w:rPr>
          <w:rFonts w:hint="eastAsia"/>
        </w:rPr>
        <w:t>及使用说明</w:t>
      </w:r>
    </w:p>
    <w:p>
      <w:pPr>
        <w:pStyle w:val="15"/>
        <w:spacing w:before="120" w:beforeLines="50" w:after="120" w:afterLines="50" w:line="312" w:lineRule="auto"/>
        <w:ind w:left="0"/>
        <w:rPr>
          <w:rFonts w:hint="eastAsia"/>
        </w:rPr>
      </w:pPr>
      <w:r>
        <w:rPr>
          <w:rFonts w:hint="eastAsia"/>
        </w:rPr>
        <w:t>持续性植物生存状态</w:t>
      </w:r>
    </w:p>
    <w:p>
      <w:pPr>
        <w:ind w:firstLine="420"/>
        <w:rPr>
          <w:rFonts w:hint="eastAsia" w:ascii="宋体" w:hAnsi="宋体"/>
        </w:rPr>
      </w:pPr>
      <w:r>
        <w:rPr>
          <w:rFonts w:ascii="宋体" w:hAnsi="宋体"/>
        </w:rPr>
        <w:t>植物</w:t>
      </w:r>
      <w:r>
        <w:rPr>
          <w:rFonts w:hint="eastAsia" w:ascii="宋体" w:hAnsi="宋体"/>
        </w:rPr>
        <w:t>生存</w:t>
      </w:r>
      <w:r>
        <w:rPr>
          <w:rFonts w:ascii="宋体" w:hAnsi="宋体"/>
        </w:rPr>
        <w:t>状态可以是暂时的，也可以呈持续性</w:t>
      </w:r>
      <w:r>
        <w:rPr>
          <w:rFonts w:hint="eastAsia" w:ascii="宋体" w:hAnsi="宋体"/>
        </w:rPr>
        <w:t>。</w:t>
      </w:r>
      <w:r>
        <w:rPr>
          <w:rFonts w:ascii="宋体" w:hAnsi="宋体"/>
        </w:rPr>
        <w:t>持续性植物</w:t>
      </w:r>
      <w:r>
        <w:rPr>
          <w:rFonts w:hint="eastAsia" w:ascii="宋体" w:hAnsi="宋体"/>
        </w:rPr>
        <w:t>生存</w:t>
      </w:r>
      <w:r>
        <w:rPr>
          <w:rFonts w:ascii="宋体" w:hAnsi="宋体"/>
        </w:rPr>
        <w:t>状态</w:t>
      </w:r>
      <w:r>
        <w:rPr>
          <w:rFonts w:hint="eastAsia" w:ascii="宋体" w:hAnsi="宋体"/>
        </w:rPr>
        <w:t>是</w:t>
      </w:r>
      <w:r>
        <w:rPr>
          <w:rFonts w:ascii="宋体" w:hAnsi="宋体"/>
        </w:rPr>
        <w:t>指严重</w:t>
      </w:r>
      <w:r>
        <w:rPr>
          <w:rFonts w:hint="eastAsia" w:ascii="宋体" w:hAnsi="宋体"/>
        </w:rPr>
        <w:t>颅</w:t>
      </w:r>
      <w:r>
        <w:rPr>
          <w:rFonts w:ascii="宋体" w:hAnsi="宋体"/>
        </w:rPr>
        <w:t>脑损伤</w:t>
      </w:r>
      <w:r>
        <w:rPr>
          <w:rFonts w:hint="eastAsia" w:ascii="宋体" w:hAnsi="宋体"/>
        </w:rPr>
        <w:t>经治疗及必要的康复</w:t>
      </w:r>
      <w:r>
        <w:rPr>
          <w:rFonts w:ascii="宋体" w:hAnsi="宋体"/>
        </w:rPr>
        <w:t>后仍缺乏意识活动，丧失语言，而仅保留无意识的姿态调整和运动功能的状态</w:t>
      </w:r>
      <w:r>
        <w:rPr>
          <w:rFonts w:hint="eastAsia" w:ascii="宋体" w:hAnsi="宋体"/>
        </w:rPr>
        <w:t>。</w:t>
      </w:r>
      <w:r>
        <w:rPr>
          <w:rFonts w:ascii="宋体" w:hAnsi="宋体"/>
        </w:rPr>
        <w:t>机体</w:t>
      </w:r>
      <w:r>
        <w:rPr>
          <w:rFonts w:hint="eastAsia" w:ascii="宋体" w:hAnsi="宋体"/>
        </w:rPr>
        <w:t>虽能维持基本生命体征</w:t>
      </w:r>
      <w:r>
        <w:rPr>
          <w:rFonts w:ascii="宋体" w:hAnsi="宋体"/>
        </w:rPr>
        <w:t>，但无意识和思维，缺乏对自身和周围环境的感知能力的生存状态。</w:t>
      </w:r>
      <w:r>
        <w:rPr>
          <w:rFonts w:hint="eastAsia" w:ascii="宋体" w:hAnsi="宋体"/>
        </w:rPr>
        <w:t>伤者</w:t>
      </w:r>
      <w:r>
        <w:rPr>
          <w:rFonts w:ascii="宋体" w:hAnsi="宋体"/>
        </w:rPr>
        <w:t>有睡眠-觉醒周期，部分或全部保存下丘脑和脑干功能，但是缺乏任何适应性反应，缺乏任何接受和反映信息的功能性思维。</w:t>
      </w:r>
    </w:p>
    <w:p>
      <w:pPr>
        <w:ind w:firstLine="420"/>
        <w:rPr>
          <w:rFonts w:hint="eastAsia" w:ascii="宋体" w:hAnsi="宋体"/>
        </w:rPr>
      </w:pPr>
      <w:r>
        <w:rPr>
          <w:rFonts w:hint="eastAsia" w:ascii="宋体" w:hAnsi="宋体"/>
        </w:rPr>
        <w:t>植物生存状态诊断标准：</w:t>
      </w:r>
      <w:r>
        <w:rPr>
          <w:rFonts w:ascii="宋体" w:hAnsi="宋体"/>
        </w:rPr>
        <w:fldChar w:fldCharType="begin"/>
      </w:r>
      <w:r>
        <w:rPr>
          <w:rFonts w:ascii="宋体" w:hAnsi="宋体"/>
        </w:rPr>
        <w:instrText xml:space="preserve"> </w:instrText>
      </w:r>
      <w:r>
        <w:rPr>
          <w:rFonts w:hint="eastAsia" w:ascii="宋体" w:hAnsi="宋体"/>
        </w:rPr>
        <w:instrText xml:space="preserve">= 1 \* GB3</w:instrText>
      </w:r>
      <w:r>
        <w:rPr>
          <w:rFonts w:ascii="宋体" w:hAnsi="宋体"/>
        </w:rPr>
        <w:instrText xml:space="preserve"> </w:instrText>
      </w:r>
      <w:r>
        <w:rPr>
          <w:rFonts w:ascii="宋体" w:hAnsi="宋体"/>
        </w:rPr>
        <w:fldChar w:fldCharType="separate"/>
      </w:r>
      <w:r>
        <w:rPr>
          <w:rFonts w:hint="eastAsia" w:ascii="宋体" w:hAnsi="宋体"/>
        </w:rPr>
        <w:t>①</w:t>
      </w:r>
      <w:r>
        <w:rPr>
          <w:rFonts w:ascii="宋体" w:hAnsi="宋体"/>
        </w:rPr>
        <w:fldChar w:fldCharType="end"/>
      </w:r>
      <w:r>
        <w:rPr>
          <w:rFonts w:ascii="宋体" w:hAnsi="宋体"/>
        </w:rPr>
        <w:t>认知功能丧失，无意识活动，不能执行指令</w:t>
      </w:r>
      <w:r>
        <w:rPr>
          <w:rFonts w:hint="eastAsia" w:ascii="宋体" w:hAnsi="宋体"/>
        </w:rPr>
        <w:t>；</w:t>
      </w:r>
      <w:r>
        <w:rPr>
          <w:rFonts w:ascii="宋体" w:hAnsi="宋体"/>
        </w:rPr>
        <w:fldChar w:fldCharType="begin"/>
      </w:r>
      <w:r>
        <w:rPr>
          <w:rFonts w:ascii="宋体" w:hAnsi="宋体"/>
        </w:rPr>
        <w:instrText xml:space="preserve"> </w:instrText>
      </w:r>
      <w:r>
        <w:rPr>
          <w:rFonts w:hint="eastAsia" w:ascii="宋体" w:hAnsi="宋体"/>
        </w:rPr>
        <w:instrText xml:space="preserve">= 2 \* GB3</w:instrText>
      </w:r>
      <w:r>
        <w:rPr>
          <w:rFonts w:ascii="宋体" w:hAnsi="宋体"/>
        </w:rPr>
        <w:instrText xml:space="preserve"> </w:instrText>
      </w:r>
      <w:r>
        <w:rPr>
          <w:rFonts w:ascii="宋体" w:hAnsi="宋体"/>
        </w:rPr>
        <w:fldChar w:fldCharType="separate"/>
      </w:r>
      <w:r>
        <w:rPr>
          <w:rFonts w:hint="eastAsia" w:ascii="宋体" w:hAnsi="宋体"/>
        </w:rPr>
        <w:t>②</w:t>
      </w:r>
      <w:r>
        <w:rPr>
          <w:rFonts w:ascii="宋体" w:hAnsi="宋体"/>
        </w:rPr>
        <w:fldChar w:fldCharType="end"/>
      </w:r>
      <w:r>
        <w:rPr>
          <w:rFonts w:ascii="宋体" w:hAnsi="宋体"/>
        </w:rPr>
        <w:t>保持自主呼吸和血压</w:t>
      </w:r>
      <w:r>
        <w:rPr>
          <w:rFonts w:hint="eastAsia" w:ascii="宋体" w:hAnsi="宋体"/>
        </w:rPr>
        <w:t>；</w:t>
      </w:r>
      <w:r>
        <w:rPr>
          <w:rFonts w:ascii="宋体" w:hAnsi="宋体"/>
        </w:rPr>
        <w:fldChar w:fldCharType="begin"/>
      </w:r>
      <w:r>
        <w:rPr>
          <w:rFonts w:ascii="宋体" w:hAnsi="宋体"/>
        </w:rPr>
        <w:instrText xml:space="preserve"> </w:instrText>
      </w:r>
      <w:r>
        <w:rPr>
          <w:rFonts w:hint="eastAsia" w:ascii="宋体" w:hAnsi="宋体"/>
        </w:rPr>
        <w:instrText xml:space="preserve">= 3 \* GB3</w:instrText>
      </w:r>
      <w:r>
        <w:rPr>
          <w:rFonts w:ascii="宋体" w:hAnsi="宋体"/>
        </w:rPr>
        <w:instrText xml:space="preserve"> </w:instrText>
      </w:r>
      <w:r>
        <w:rPr>
          <w:rFonts w:ascii="宋体" w:hAnsi="宋体"/>
        </w:rPr>
        <w:fldChar w:fldCharType="separate"/>
      </w:r>
      <w:r>
        <w:rPr>
          <w:rFonts w:hint="eastAsia" w:ascii="宋体" w:hAnsi="宋体"/>
        </w:rPr>
        <w:t>③</w:t>
      </w:r>
      <w:r>
        <w:rPr>
          <w:rFonts w:ascii="宋体" w:hAnsi="宋体"/>
        </w:rPr>
        <w:fldChar w:fldCharType="end"/>
      </w:r>
      <w:r>
        <w:rPr>
          <w:rFonts w:ascii="宋体" w:hAnsi="宋体"/>
        </w:rPr>
        <w:t>有睡眠-觉醒周期</w:t>
      </w:r>
      <w:r>
        <w:rPr>
          <w:rFonts w:hint="eastAsia" w:ascii="宋体" w:hAnsi="宋体"/>
        </w:rPr>
        <w:t>；</w:t>
      </w:r>
      <w:r>
        <w:rPr>
          <w:rFonts w:ascii="宋体" w:hAnsi="宋体"/>
        </w:rPr>
        <w:fldChar w:fldCharType="begin"/>
      </w:r>
      <w:r>
        <w:rPr>
          <w:rFonts w:ascii="宋体" w:hAnsi="宋体"/>
        </w:rPr>
        <w:instrText xml:space="preserve"> </w:instrText>
      </w:r>
      <w:r>
        <w:rPr>
          <w:rFonts w:hint="eastAsia" w:ascii="宋体" w:hAnsi="宋体"/>
        </w:rPr>
        <w:instrText xml:space="preserve">= 4 \* GB3</w:instrText>
      </w:r>
      <w:r>
        <w:rPr>
          <w:rFonts w:ascii="宋体" w:hAnsi="宋体"/>
        </w:rPr>
        <w:instrText xml:space="preserve"> </w:instrText>
      </w:r>
      <w:r>
        <w:rPr>
          <w:rFonts w:ascii="宋体" w:hAnsi="宋体"/>
        </w:rPr>
        <w:fldChar w:fldCharType="separate"/>
      </w:r>
      <w:r>
        <w:rPr>
          <w:rFonts w:hint="eastAsia" w:ascii="宋体" w:hAnsi="宋体"/>
        </w:rPr>
        <w:t>④</w:t>
      </w:r>
      <w:r>
        <w:rPr>
          <w:rFonts w:ascii="宋体" w:hAnsi="宋体"/>
        </w:rPr>
        <w:fldChar w:fldCharType="end"/>
      </w:r>
      <w:r>
        <w:rPr>
          <w:rFonts w:ascii="宋体" w:hAnsi="宋体"/>
        </w:rPr>
        <w:t>不能理解或表达语言</w:t>
      </w:r>
      <w:r>
        <w:rPr>
          <w:rFonts w:hint="eastAsia" w:ascii="宋体" w:hAnsi="宋体"/>
        </w:rPr>
        <w:t>；</w:t>
      </w:r>
      <w:r>
        <w:rPr>
          <w:rFonts w:ascii="宋体" w:hAnsi="宋体"/>
        </w:rPr>
        <w:fldChar w:fldCharType="begin"/>
      </w:r>
      <w:r>
        <w:rPr>
          <w:rFonts w:ascii="宋体" w:hAnsi="宋体"/>
        </w:rPr>
        <w:instrText xml:space="preserve"> </w:instrText>
      </w:r>
      <w:r>
        <w:rPr>
          <w:rFonts w:hint="eastAsia" w:ascii="宋体" w:hAnsi="宋体"/>
        </w:rPr>
        <w:instrText xml:space="preserve">= 5 \* GB3</w:instrText>
      </w:r>
      <w:r>
        <w:rPr>
          <w:rFonts w:ascii="宋体" w:hAnsi="宋体"/>
        </w:rPr>
        <w:instrText xml:space="preserve"> </w:instrText>
      </w:r>
      <w:r>
        <w:rPr>
          <w:rFonts w:ascii="宋体" w:hAnsi="宋体"/>
        </w:rPr>
        <w:fldChar w:fldCharType="separate"/>
      </w:r>
      <w:r>
        <w:rPr>
          <w:rFonts w:hint="eastAsia" w:ascii="宋体" w:hAnsi="宋体"/>
        </w:rPr>
        <w:t>⑤</w:t>
      </w:r>
      <w:r>
        <w:rPr>
          <w:rFonts w:ascii="宋体" w:hAnsi="宋体"/>
        </w:rPr>
        <w:fldChar w:fldCharType="end"/>
      </w:r>
      <w:r>
        <w:rPr>
          <w:rFonts w:ascii="宋体" w:hAnsi="宋体"/>
        </w:rPr>
        <w:t>自动睁眼或刺激下睁眼</w:t>
      </w:r>
      <w:r>
        <w:rPr>
          <w:rFonts w:hint="eastAsia" w:ascii="宋体" w:hAnsi="宋体"/>
        </w:rPr>
        <w:t>；</w:t>
      </w:r>
      <w:r>
        <w:rPr>
          <w:rFonts w:ascii="宋体" w:hAnsi="宋体"/>
        </w:rPr>
        <w:fldChar w:fldCharType="begin"/>
      </w:r>
      <w:r>
        <w:rPr>
          <w:rFonts w:ascii="宋体" w:hAnsi="宋体"/>
        </w:rPr>
        <w:instrText xml:space="preserve"> </w:instrText>
      </w:r>
      <w:r>
        <w:rPr>
          <w:rFonts w:hint="eastAsia" w:ascii="宋体" w:hAnsi="宋体"/>
        </w:rPr>
        <w:instrText xml:space="preserve">= 6 \* GB3</w:instrText>
      </w:r>
      <w:r>
        <w:rPr>
          <w:rFonts w:ascii="宋体" w:hAnsi="宋体"/>
        </w:rPr>
        <w:instrText xml:space="preserve"> </w:instrText>
      </w:r>
      <w:r>
        <w:rPr>
          <w:rFonts w:ascii="宋体" w:hAnsi="宋体"/>
        </w:rPr>
        <w:fldChar w:fldCharType="separate"/>
      </w:r>
      <w:r>
        <w:rPr>
          <w:rFonts w:hint="eastAsia" w:ascii="宋体" w:hAnsi="宋体"/>
        </w:rPr>
        <w:t>⑥</w:t>
      </w:r>
      <w:r>
        <w:rPr>
          <w:rFonts w:ascii="宋体" w:hAnsi="宋体"/>
        </w:rPr>
        <w:fldChar w:fldCharType="end"/>
      </w:r>
      <w:r>
        <w:rPr>
          <w:rFonts w:ascii="宋体" w:hAnsi="宋体"/>
        </w:rPr>
        <w:t>可有无目的性眼球跟踪运动</w:t>
      </w:r>
      <w:r>
        <w:rPr>
          <w:rFonts w:hint="eastAsia" w:ascii="宋体" w:hAnsi="宋体"/>
        </w:rPr>
        <w:t>；</w:t>
      </w:r>
      <w:r>
        <w:rPr>
          <w:rFonts w:ascii="宋体" w:hAnsi="宋体"/>
        </w:rPr>
        <w:fldChar w:fldCharType="begin"/>
      </w:r>
      <w:r>
        <w:rPr>
          <w:rFonts w:ascii="宋体" w:hAnsi="宋体"/>
        </w:rPr>
        <w:instrText xml:space="preserve"> </w:instrText>
      </w:r>
      <w:r>
        <w:rPr>
          <w:rFonts w:hint="eastAsia" w:ascii="宋体" w:hAnsi="宋体"/>
        </w:rPr>
        <w:instrText xml:space="preserve">= 7 \* GB3</w:instrText>
      </w:r>
      <w:r>
        <w:rPr>
          <w:rFonts w:ascii="宋体" w:hAnsi="宋体"/>
        </w:rPr>
        <w:instrText xml:space="preserve"> </w:instrText>
      </w:r>
      <w:r>
        <w:rPr>
          <w:rFonts w:ascii="宋体" w:hAnsi="宋体"/>
        </w:rPr>
        <w:fldChar w:fldCharType="separate"/>
      </w:r>
      <w:r>
        <w:rPr>
          <w:rFonts w:hint="eastAsia" w:ascii="宋体" w:hAnsi="宋体"/>
        </w:rPr>
        <w:t>⑦</w:t>
      </w:r>
      <w:r>
        <w:rPr>
          <w:rFonts w:ascii="宋体" w:hAnsi="宋体"/>
        </w:rPr>
        <w:fldChar w:fldCharType="end"/>
      </w:r>
      <w:r>
        <w:rPr>
          <w:rFonts w:ascii="宋体" w:hAnsi="宋体"/>
        </w:rPr>
        <w:t>丘脑下部及脑干功能基本保存。</w:t>
      </w:r>
    </w:p>
    <w:p>
      <w:pPr>
        <w:ind w:firstLine="420"/>
        <w:rPr>
          <w:rFonts w:ascii="宋体" w:hAnsi="宋体"/>
        </w:rPr>
      </w:pPr>
      <w:r>
        <w:rPr>
          <w:rFonts w:hint="eastAsia" w:ascii="宋体" w:hAnsi="宋体"/>
        </w:rPr>
        <w:t>持续性植物生存状态指</w:t>
      </w:r>
      <w:r>
        <w:rPr>
          <w:rFonts w:ascii="宋体" w:hAnsi="宋体"/>
        </w:rPr>
        <w:t>脑损伤后</w:t>
      </w:r>
      <w:r>
        <w:rPr>
          <w:rFonts w:hint="eastAsia" w:ascii="宋体" w:hAnsi="宋体"/>
        </w:rPr>
        <w:t>上述表现至少</w:t>
      </w:r>
      <w:r>
        <w:rPr>
          <w:rFonts w:ascii="宋体" w:hAnsi="宋体"/>
        </w:rPr>
        <w:t>持续</w:t>
      </w:r>
      <w:r>
        <w:rPr>
          <w:rFonts w:hint="eastAsia" w:ascii="宋体" w:hAnsi="宋体"/>
        </w:rPr>
        <w:t>6</w:t>
      </w:r>
      <w:r>
        <w:rPr>
          <w:rFonts w:ascii="宋体" w:hAnsi="宋体"/>
        </w:rPr>
        <w:t>个月以上</w:t>
      </w:r>
      <w:r>
        <w:rPr>
          <w:rFonts w:hint="eastAsia" w:ascii="宋体" w:hAnsi="宋体"/>
        </w:rPr>
        <w:t>，且难以恢复</w:t>
      </w:r>
      <w:r>
        <w:rPr>
          <w:rFonts w:ascii="宋体" w:hAnsi="宋体"/>
        </w:rPr>
        <w:t>。</w:t>
      </w:r>
    </w:p>
    <w:p>
      <w:pPr>
        <w:pStyle w:val="10"/>
        <w:spacing w:line="240" w:lineRule="exact"/>
        <w:ind w:right="244" w:rightChars="116" w:firstLine="0" w:firstLineChars="0"/>
        <w:rPr>
          <w:rFonts w:hint="eastAsia" w:ascii="华文楷体" w:hAnsi="华文楷体" w:eastAsia="华文楷体"/>
          <w:sz w:val="18"/>
          <w:szCs w:val="18"/>
        </w:rPr>
      </w:pPr>
      <w:r>
        <w:rPr>
          <w:rFonts w:hint="eastAsia" w:ascii="华文楷体" w:hAnsi="华文楷体" w:eastAsia="华文楷体"/>
          <w:sz w:val="18"/>
          <w:szCs w:val="18"/>
        </w:rPr>
        <w:t xml:space="preserve">    注：反复发作性意识障碍，作为癫痫的一组症状或癫痫发作的一种形式时，不单独鉴定其致残程度。</w:t>
      </w:r>
    </w:p>
    <w:p>
      <w:pPr>
        <w:pStyle w:val="15"/>
        <w:spacing w:before="240" w:after="240"/>
        <w:ind w:left="0"/>
        <w:rPr>
          <w:rFonts w:hint="eastAsia"/>
        </w:rPr>
      </w:pPr>
      <w:r>
        <w:rPr>
          <w:rFonts w:hint="eastAsia"/>
        </w:rPr>
        <w:t>精神障碍</w:t>
      </w:r>
    </w:p>
    <w:p>
      <w:pPr>
        <w:pStyle w:val="18"/>
        <w:spacing w:before="120" w:after="120"/>
        <w:rPr>
          <w:rFonts w:hint="eastAsia"/>
        </w:rPr>
      </w:pPr>
      <w:r>
        <w:rPr>
          <w:rFonts w:hint="eastAsia"/>
        </w:rPr>
        <w:t>症状标准</w:t>
      </w:r>
    </w:p>
    <w:p>
      <w:pPr>
        <w:pStyle w:val="10"/>
        <w:rPr>
          <w:rFonts w:hint="eastAsia"/>
        </w:rPr>
      </w:pPr>
      <w:r>
        <w:rPr>
          <w:rFonts w:hint="eastAsia"/>
        </w:rPr>
        <w:t>有下列表现之一者：</w:t>
      </w:r>
    </w:p>
    <w:p>
      <w:pPr>
        <w:pStyle w:val="16"/>
        <w:numPr>
          <w:ilvl w:val="0"/>
          <w:numId w:val="78"/>
        </w:numPr>
        <w:tabs>
          <w:tab w:val="left" w:pos="839"/>
        </w:tabs>
        <w:rPr>
          <w:rFonts w:hint="eastAsia"/>
        </w:rPr>
      </w:pPr>
      <w:r>
        <w:rPr>
          <w:rFonts w:hint="eastAsia"/>
        </w:rPr>
        <w:t>智能损害综合征；</w:t>
      </w:r>
    </w:p>
    <w:p>
      <w:pPr>
        <w:pStyle w:val="16"/>
        <w:rPr>
          <w:rFonts w:hint="eastAsia"/>
        </w:rPr>
      </w:pPr>
      <w:r>
        <w:rPr>
          <w:rFonts w:hint="eastAsia"/>
        </w:rPr>
        <w:t>遗忘综合征；</w:t>
      </w:r>
    </w:p>
    <w:p>
      <w:pPr>
        <w:pStyle w:val="16"/>
        <w:rPr>
          <w:rFonts w:hint="eastAsia"/>
        </w:rPr>
      </w:pPr>
      <w:r>
        <w:rPr>
          <w:rFonts w:hint="eastAsia"/>
        </w:rPr>
        <w:t>人格改变；</w:t>
      </w:r>
    </w:p>
    <w:p>
      <w:pPr>
        <w:pStyle w:val="16"/>
        <w:rPr>
          <w:rFonts w:hint="eastAsia"/>
        </w:rPr>
      </w:pPr>
      <w:r>
        <w:rPr>
          <w:rFonts w:hint="eastAsia"/>
        </w:rPr>
        <w:t>意识障碍；</w:t>
      </w:r>
    </w:p>
    <w:p>
      <w:pPr>
        <w:pStyle w:val="16"/>
        <w:rPr>
          <w:rFonts w:hint="eastAsia"/>
        </w:rPr>
      </w:pPr>
      <w:r>
        <w:rPr>
          <w:rFonts w:hint="eastAsia"/>
        </w:rPr>
        <w:t>精神病性症状（如幻觉、妄想、紧张综合征等）；</w:t>
      </w:r>
    </w:p>
    <w:p>
      <w:pPr>
        <w:pStyle w:val="16"/>
        <w:rPr>
          <w:rFonts w:hint="eastAsia"/>
        </w:rPr>
      </w:pPr>
      <w:r>
        <w:rPr>
          <w:rFonts w:hint="eastAsia"/>
        </w:rPr>
        <w:t>情感障碍综合征（如躁狂综合征、抑郁综合征等）；</w:t>
      </w:r>
    </w:p>
    <w:p>
      <w:pPr>
        <w:pStyle w:val="16"/>
        <w:rPr>
          <w:rFonts w:hint="eastAsia"/>
        </w:rPr>
      </w:pPr>
      <w:r>
        <w:rPr>
          <w:rFonts w:hint="eastAsia"/>
        </w:rPr>
        <w:t xml:space="preserve">解离（转换）综合征； </w:t>
      </w:r>
    </w:p>
    <w:p>
      <w:pPr>
        <w:pStyle w:val="16"/>
        <w:rPr>
          <w:rFonts w:hint="eastAsia"/>
        </w:rPr>
      </w:pPr>
      <w:r>
        <w:rPr>
          <w:rFonts w:hint="eastAsia"/>
        </w:rPr>
        <w:t>神经症样综合征（如焦虑综合征、情感脆弱综合征等）。</w:t>
      </w:r>
    </w:p>
    <w:p>
      <w:pPr>
        <w:pStyle w:val="18"/>
        <w:spacing w:before="120" w:after="120"/>
        <w:rPr>
          <w:rFonts w:hint="eastAsia"/>
        </w:rPr>
      </w:pPr>
      <w:r>
        <w:rPr>
          <w:rFonts w:hint="eastAsia"/>
        </w:rPr>
        <w:t>精神障碍的认定</w:t>
      </w:r>
    </w:p>
    <w:p>
      <w:pPr>
        <w:pStyle w:val="16"/>
        <w:numPr>
          <w:ilvl w:val="0"/>
          <w:numId w:val="79"/>
        </w:numPr>
        <w:tabs>
          <w:tab w:val="left" w:pos="839"/>
        </w:tabs>
        <w:rPr>
          <w:rFonts w:hint="eastAsia"/>
        </w:rPr>
      </w:pPr>
      <w:r>
        <w:rPr>
          <w:rFonts w:hint="eastAsia"/>
        </w:rPr>
        <w:t>精神障碍的发病基础需有颅脑损伤的存在；</w:t>
      </w:r>
    </w:p>
    <w:p>
      <w:pPr>
        <w:pStyle w:val="16"/>
        <w:rPr>
          <w:rFonts w:hint="eastAsia"/>
        </w:rPr>
      </w:pPr>
      <w:r>
        <w:rPr>
          <w:rFonts w:hint="eastAsia"/>
        </w:rPr>
        <w:t>精神障碍的起病时间需与颅脑损伤的发生相吻合；</w:t>
      </w:r>
    </w:p>
    <w:p>
      <w:pPr>
        <w:pStyle w:val="16"/>
        <w:rPr>
          <w:rFonts w:hint="eastAsia"/>
        </w:rPr>
      </w:pPr>
      <w:r>
        <w:rPr>
          <w:rFonts w:hint="eastAsia"/>
        </w:rPr>
        <w:t>精神障碍应随着颅脑损伤的改善而缓解；</w:t>
      </w:r>
    </w:p>
    <w:p>
      <w:pPr>
        <w:pStyle w:val="16"/>
        <w:rPr>
          <w:rFonts w:hint="eastAsia"/>
        </w:rPr>
      </w:pPr>
      <w:r>
        <w:rPr>
          <w:rFonts w:hint="eastAsia"/>
        </w:rPr>
        <w:t>无证据提示精神障碍的发病存在其他原因（如强阳性家族史）。</w:t>
      </w:r>
    </w:p>
    <w:p>
      <w:pPr>
        <w:pStyle w:val="10"/>
        <w:rPr>
          <w:rFonts w:hint="eastAsia"/>
        </w:rPr>
      </w:pPr>
      <w:r>
        <w:rPr>
          <w:rFonts w:hint="eastAsia"/>
        </w:rPr>
        <w:t>精神分裂症和躁郁症均为内源性疾病，发病主要决定于病人自身的生物学素质，不属于人身损害所致的精神障碍。</w:t>
      </w:r>
    </w:p>
    <w:p>
      <w:pPr>
        <w:pStyle w:val="15"/>
        <w:spacing w:before="240" w:after="240"/>
        <w:ind w:left="0"/>
        <w:rPr>
          <w:rFonts w:hint="eastAsia"/>
        </w:rPr>
      </w:pPr>
      <w:r>
        <w:rPr>
          <w:rFonts w:hint="eastAsia"/>
        </w:rPr>
        <w:t>智能损害</w:t>
      </w:r>
    </w:p>
    <w:p>
      <w:pPr>
        <w:pStyle w:val="18"/>
        <w:spacing w:before="120" w:beforeLines="0" w:after="120" w:afterLines="0"/>
        <w:rPr>
          <w:rFonts w:hint="eastAsia"/>
        </w:rPr>
      </w:pPr>
      <w:r>
        <w:rPr>
          <w:rFonts w:hint="eastAsia"/>
        </w:rPr>
        <w:t>智能损害的症状</w:t>
      </w:r>
    </w:p>
    <w:p>
      <w:pPr>
        <w:pStyle w:val="16"/>
        <w:numPr>
          <w:ilvl w:val="0"/>
          <w:numId w:val="80"/>
        </w:numPr>
        <w:tabs>
          <w:tab w:val="left" w:pos="839"/>
        </w:tabs>
        <w:rPr>
          <w:rFonts w:hint="eastAsia"/>
        </w:rPr>
      </w:pPr>
      <w:r>
        <w:rPr>
          <w:rFonts w:hint="eastAsia"/>
        </w:rPr>
        <w:t>记忆减退，最明显的是学习新事物的能力受损；</w:t>
      </w:r>
    </w:p>
    <w:p>
      <w:pPr>
        <w:pStyle w:val="16"/>
        <w:rPr>
          <w:rFonts w:hint="eastAsia"/>
        </w:rPr>
      </w:pPr>
      <w:r>
        <w:rPr>
          <w:rFonts w:hint="eastAsia"/>
        </w:rPr>
        <w:t>以思维和信息处理过程减退为特征的智能损害，如抽象概括能力减退，难以解释成语、谚语，掌握词汇量减少，不能理解抽象意义的语汇，难以概括同类事物的共同特征，或判断力减退；</w:t>
      </w:r>
    </w:p>
    <w:p>
      <w:pPr>
        <w:pStyle w:val="16"/>
        <w:rPr>
          <w:rFonts w:hint="eastAsia"/>
        </w:rPr>
      </w:pPr>
      <w:r>
        <w:rPr>
          <w:rFonts w:hint="eastAsia"/>
        </w:rPr>
        <w:t>情感障碍，如抑郁、淡漠，或敌意增加等；</w:t>
      </w:r>
    </w:p>
    <w:p>
      <w:pPr>
        <w:pStyle w:val="16"/>
        <w:rPr>
          <w:rFonts w:hint="eastAsia"/>
        </w:rPr>
      </w:pPr>
      <w:r>
        <w:rPr>
          <w:rFonts w:hint="eastAsia"/>
        </w:rPr>
        <w:t>意志减退，如懒散、主动性降低；</w:t>
      </w:r>
    </w:p>
    <w:p>
      <w:pPr>
        <w:pStyle w:val="16"/>
        <w:rPr>
          <w:rFonts w:hint="eastAsia"/>
        </w:rPr>
      </w:pPr>
      <w:r>
        <w:rPr>
          <w:rFonts w:hint="eastAsia"/>
        </w:rPr>
        <w:t>其他高级皮层功能受损，如失语、失认、失用或者人格改变等；</w:t>
      </w:r>
    </w:p>
    <w:p>
      <w:pPr>
        <w:pStyle w:val="16"/>
        <w:rPr>
          <w:rFonts w:hint="eastAsia"/>
        </w:rPr>
      </w:pPr>
      <w:r>
        <w:rPr>
          <w:rFonts w:hint="eastAsia"/>
        </w:rPr>
        <w:t>无意识障碍。</w:t>
      </w:r>
    </w:p>
    <w:p>
      <w:pPr>
        <w:pStyle w:val="10"/>
        <w:spacing w:line="240" w:lineRule="exact"/>
        <w:ind w:firstLine="360"/>
        <w:rPr>
          <w:rFonts w:hint="eastAsia" w:ascii="华文楷体" w:hAnsi="华文楷体" w:eastAsia="华文楷体"/>
          <w:sz w:val="18"/>
          <w:szCs w:val="18"/>
        </w:rPr>
      </w:pPr>
      <w:r>
        <w:rPr>
          <w:rFonts w:hint="eastAsia" w:ascii="华文楷体" w:hAnsi="华文楷体" w:eastAsia="华文楷体"/>
          <w:sz w:val="18"/>
          <w:szCs w:val="18"/>
        </w:rPr>
        <w:t>注：符合上述症状标准至少满6个月方可诊断。</w:t>
      </w:r>
    </w:p>
    <w:p>
      <w:pPr>
        <w:pStyle w:val="18"/>
        <w:spacing w:before="120" w:after="120"/>
        <w:rPr>
          <w:rFonts w:hint="eastAsia"/>
        </w:rPr>
      </w:pPr>
      <w:r>
        <w:rPr>
          <w:rFonts w:hint="eastAsia"/>
        </w:rPr>
        <w:t>智能损害分级</w:t>
      </w:r>
    </w:p>
    <w:p>
      <w:pPr>
        <w:pStyle w:val="16"/>
        <w:numPr>
          <w:ilvl w:val="0"/>
          <w:numId w:val="81"/>
        </w:numPr>
        <w:tabs>
          <w:tab w:val="left" w:pos="839"/>
        </w:tabs>
        <w:rPr>
          <w:rFonts w:hint="eastAsia"/>
        </w:rPr>
      </w:pPr>
      <w:r>
        <w:rPr>
          <w:rFonts w:hint="eastAsia"/>
        </w:rPr>
        <w:t>极重度智能减退  智商（IQ）＜20；语言功能丧失；生活完全不能自理。</w:t>
      </w:r>
    </w:p>
    <w:p>
      <w:pPr>
        <w:pStyle w:val="16"/>
        <w:rPr>
          <w:rFonts w:hint="eastAsia"/>
        </w:rPr>
      </w:pPr>
      <w:r>
        <w:rPr>
          <w:rFonts w:hint="eastAsia"/>
        </w:rPr>
        <w:t>重度智能减退  IQ 20～34；</w:t>
      </w:r>
      <w:r>
        <w:rPr>
          <w:rFonts w:hint="eastAsia" w:hAnsi="宋体"/>
        </w:rPr>
        <w:t>语言功能严重受损，不能进行有效的交流；生活大部分不能自理</w:t>
      </w:r>
      <w:r>
        <w:rPr>
          <w:rFonts w:hint="eastAsia"/>
        </w:rPr>
        <w:t>。</w:t>
      </w:r>
    </w:p>
    <w:p>
      <w:pPr>
        <w:pStyle w:val="16"/>
        <w:rPr>
          <w:rFonts w:hint="eastAsia"/>
        </w:rPr>
      </w:pPr>
      <w:r>
        <w:rPr>
          <w:rFonts w:hint="eastAsia"/>
        </w:rPr>
        <w:t>中度智能减退  IQ 35～49；</w:t>
      </w:r>
      <w:r>
        <w:rPr>
          <w:rFonts w:hint="eastAsia" w:hAnsi="宋体"/>
        </w:rPr>
        <w:t>能掌握日常生活用语，但词汇贫乏，对周围环境辨别能力差，只能以简单的方式与人交往；生活部分不能自理，能做简单劳动</w:t>
      </w:r>
      <w:r>
        <w:rPr>
          <w:rFonts w:hint="eastAsia"/>
        </w:rPr>
        <w:t>。</w:t>
      </w:r>
    </w:p>
    <w:p>
      <w:pPr>
        <w:pStyle w:val="16"/>
        <w:rPr>
          <w:rFonts w:hint="eastAsia"/>
        </w:rPr>
      </w:pPr>
      <w:r>
        <w:rPr>
          <w:rFonts w:hint="eastAsia"/>
        </w:rPr>
        <w:t>轻度智能减退  IQ 50～69；</w:t>
      </w:r>
      <w:r>
        <w:rPr>
          <w:rFonts w:hint="eastAsia" w:hAnsi="宋体"/>
        </w:rPr>
        <w:t>无明显语言障碍，对周围环境有较好的辨别能力，能比较恰当的与人交往；生活能自理，能做一般非技术性工作</w:t>
      </w:r>
      <w:r>
        <w:rPr>
          <w:rFonts w:hint="eastAsia"/>
        </w:rPr>
        <w:t>。</w:t>
      </w:r>
    </w:p>
    <w:p>
      <w:pPr>
        <w:pStyle w:val="16"/>
        <w:rPr>
          <w:rFonts w:hint="eastAsia"/>
        </w:rPr>
      </w:pPr>
      <w:r>
        <w:rPr>
          <w:rFonts w:hint="eastAsia"/>
        </w:rPr>
        <w:t>边缘智能状态  IQ 70～84；抽象思维能力或者思维广度、深度及机敏性显示不良；不能完成高级或者复杂的脑力劳动。</w:t>
      </w:r>
    </w:p>
    <w:p>
      <w:pPr>
        <w:pStyle w:val="15"/>
        <w:spacing w:before="240" w:after="240"/>
        <w:ind w:left="0"/>
        <w:rPr>
          <w:rFonts w:hint="eastAsia"/>
        </w:rPr>
      </w:pPr>
      <w:r>
        <w:rPr>
          <w:rFonts w:hint="eastAsia"/>
        </w:rPr>
        <w:t>生活自理能力</w:t>
      </w:r>
    </w:p>
    <w:p>
      <w:pPr>
        <w:pStyle w:val="10"/>
        <w:ind w:firstLine="424" w:firstLineChars="202"/>
        <w:rPr>
          <w:rFonts w:hint="eastAsia"/>
        </w:rPr>
      </w:pPr>
      <w:r>
        <w:rPr>
          <w:rFonts w:hint="eastAsia"/>
        </w:rPr>
        <w:t>具体评价方法参考《</w:t>
      </w:r>
      <w:r>
        <w:rPr>
          <w:rFonts w:hint="eastAsia" w:hAnsi="宋体"/>
        </w:rPr>
        <w:t>人身损害护理依赖程度评定》（GB/T 31147）。</w:t>
      </w:r>
    </w:p>
    <w:p>
      <w:pPr>
        <w:pStyle w:val="15"/>
        <w:spacing w:before="240" w:after="240"/>
        <w:ind w:left="0"/>
        <w:rPr>
          <w:rFonts w:hint="eastAsia"/>
        </w:rPr>
      </w:pPr>
      <w:r>
        <w:rPr>
          <w:rFonts w:hint="eastAsia"/>
        </w:rPr>
        <w:t>失语症</w:t>
      </w:r>
    </w:p>
    <w:p>
      <w:pPr>
        <w:pStyle w:val="10"/>
        <w:ind w:firstLine="424" w:firstLineChars="202"/>
        <w:rPr>
          <w:rFonts w:hint="eastAsia"/>
        </w:rPr>
      </w:pPr>
      <w:r>
        <w:t>失语症是指由于中枢神经损</w:t>
      </w:r>
      <w:r>
        <w:rPr>
          <w:rFonts w:hint="eastAsia"/>
        </w:rPr>
        <w:t>伤</w:t>
      </w:r>
      <w:r>
        <w:t>导致抽象</w:t>
      </w:r>
      <w:r>
        <w:fldChar w:fldCharType="begin"/>
      </w:r>
      <w:r>
        <w:instrText xml:space="preserve"> HYPERLINK "http://baike.baidu.com/view/54338.htm" \t "_blank" </w:instrText>
      </w:r>
      <w:r>
        <w:fldChar w:fldCharType="separate"/>
      </w:r>
      <w:r>
        <w:rPr>
          <w:rStyle w:val="7"/>
          <w:rFonts w:hAnsi="宋体"/>
          <w:color w:val="auto"/>
          <w:u w:val="none"/>
        </w:rPr>
        <w:t>信号</w:t>
      </w:r>
      <w:r>
        <w:fldChar w:fldCharType="end"/>
      </w:r>
      <w:r>
        <w:t>思维障碍而丧失口语、文字的表达和</w:t>
      </w:r>
      <w:r>
        <w:rPr>
          <w:rFonts w:hint="eastAsia"/>
        </w:rPr>
        <w:t>理解</w:t>
      </w:r>
      <w:r>
        <w:t>能力的临床症候群，失语症不包括由于意识障碍和普通的智力减退造成的语言症状，也不包括听觉、视觉、书写、发音等感觉和</w:t>
      </w:r>
      <w:r>
        <w:fldChar w:fldCharType="begin"/>
      </w:r>
      <w:r>
        <w:instrText xml:space="preserve"> HYPERLINK "http://baike.baidu.com/view/4356199.htm" \t "_blank" </w:instrText>
      </w:r>
      <w:r>
        <w:fldChar w:fldCharType="separate"/>
      </w:r>
      <w:r>
        <w:rPr>
          <w:rStyle w:val="7"/>
          <w:rFonts w:hAnsi="宋体"/>
          <w:color w:val="auto"/>
          <w:u w:val="none"/>
        </w:rPr>
        <w:t>运动器官</w:t>
      </w:r>
      <w:r>
        <w:fldChar w:fldCharType="end"/>
      </w:r>
      <w:r>
        <w:t>损害引起的语言、阅读和书写障碍。</w:t>
      </w:r>
    </w:p>
    <w:p>
      <w:pPr>
        <w:pStyle w:val="10"/>
        <w:rPr>
          <w:rFonts w:hint="eastAsia"/>
          <w:szCs w:val="21"/>
        </w:rPr>
      </w:pPr>
      <w:r>
        <w:rPr>
          <w:rFonts w:hint="eastAsia"/>
          <w:szCs w:val="21"/>
        </w:rPr>
        <w:t>失语症又可分为：完全运动性失语，不完全运动性失语；完全感觉性失语，不完全感觉性失语；混合性失语；完全性失用，不完全性失用；完全性失写，不完全性失写；完全性失读，不完全性失读；完全性失认，不完全性失认等。</w:t>
      </w:r>
    </w:p>
    <w:p>
      <w:pPr>
        <w:pStyle w:val="10"/>
        <w:spacing w:line="240" w:lineRule="exact"/>
        <w:ind w:firstLine="360"/>
        <w:rPr>
          <w:rFonts w:hint="eastAsia" w:ascii="华文楷体" w:hAnsi="华文楷体" w:eastAsia="华文楷体"/>
          <w:sz w:val="18"/>
          <w:szCs w:val="18"/>
        </w:rPr>
      </w:pPr>
      <w:r>
        <w:rPr>
          <w:rFonts w:hint="eastAsia" w:ascii="华文楷体" w:hAnsi="华文楷体" w:eastAsia="华文楷体"/>
          <w:sz w:val="18"/>
          <w:szCs w:val="18"/>
        </w:rPr>
        <w:t>注：脑外伤后失语的认定应该符合以下几个方面的要求：（1）脑损伤的部位应该与语言功能有关；（2）病史材料应该有就诊记录并且有关于失语的描述；（3）有明确的临床诊断或者专家咨询意见。</w:t>
      </w:r>
    </w:p>
    <w:p>
      <w:pPr>
        <w:pStyle w:val="15"/>
        <w:spacing w:before="120" w:beforeLines="50" w:after="120" w:afterLines="50" w:line="312" w:lineRule="auto"/>
        <w:ind w:left="0"/>
        <w:rPr>
          <w:rFonts w:hint="eastAsia"/>
        </w:rPr>
      </w:pPr>
      <w:r>
        <w:rPr>
          <w:rFonts w:hint="eastAsia"/>
        </w:rPr>
        <w:t>外伤性癫痫分度</w:t>
      </w:r>
    </w:p>
    <w:p>
      <w:pPr>
        <w:pStyle w:val="10"/>
        <w:rPr>
          <w:rFonts w:hint="eastAsia"/>
        </w:rPr>
      </w:pPr>
      <w:r>
        <w:rPr>
          <w:rFonts w:hint="eastAsia"/>
        </w:rPr>
        <w:t>外伤性癫痫通常是指颅脑损伤3个月后发生的癫痫，可分为以下三度：</w:t>
      </w:r>
    </w:p>
    <w:p>
      <w:pPr>
        <w:pStyle w:val="16"/>
        <w:numPr>
          <w:ilvl w:val="0"/>
          <w:numId w:val="82"/>
        </w:numPr>
        <w:tabs>
          <w:tab w:val="left" w:pos="839"/>
        </w:tabs>
        <w:rPr>
          <w:rFonts w:hint="eastAsia"/>
        </w:rPr>
      </w:pPr>
      <w:r>
        <w:rPr>
          <w:rFonts w:hint="eastAsia"/>
        </w:rPr>
        <w:t>轻度  各种类型的癫痫发作，经系统服药治疗1年后能控制的；</w:t>
      </w:r>
    </w:p>
    <w:p>
      <w:pPr>
        <w:pStyle w:val="16"/>
        <w:rPr>
          <w:rFonts w:hint="eastAsia"/>
        </w:rPr>
      </w:pPr>
      <w:r>
        <w:rPr>
          <w:rFonts w:hint="eastAsia"/>
        </w:rPr>
        <w:t>中度  各种类型的癫痫发作，经系统服药治疗1年后，全身性强直－阵挛发作、单纯或复杂部分发作，伴自动症或精神症状（相当于大发作、精神运动性发作）平均每月1次或1次以下，失神发作和其他类型发作平均每周1次以下；</w:t>
      </w:r>
    </w:p>
    <w:p>
      <w:pPr>
        <w:pStyle w:val="16"/>
        <w:rPr>
          <w:rFonts w:hint="eastAsia"/>
        </w:rPr>
      </w:pPr>
      <w:r>
        <w:rPr>
          <w:rFonts w:hint="eastAsia"/>
        </w:rPr>
        <w:t>重度  各种类型的癫痫发作，经系统服药治疗1年后，全身性强直－阵挛发作、单纯或复杂部分发作，伴自动症或精神症状（相当于大发作、精神运动性发作）平均每月2次以上，失神发作和其他类型发作平均每周2次以上。</w:t>
      </w:r>
    </w:p>
    <w:p>
      <w:pPr>
        <w:pStyle w:val="10"/>
        <w:spacing w:line="240" w:lineRule="exact"/>
        <w:ind w:firstLine="360"/>
        <w:rPr>
          <w:rFonts w:hint="eastAsia" w:ascii="华文楷体" w:hAnsi="华文楷体" w:eastAsia="华文楷体"/>
          <w:sz w:val="18"/>
          <w:szCs w:val="18"/>
        </w:rPr>
      </w:pPr>
      <w:r>
        <w:rPr>
          <w:rFonts w:hint="eastAsia" w:ascii="华文楷体" w:hAnsi="华文楷体" w:eastAsia="华文楷体"/>
          <w:sz w:val="18"/>
          <w:szCs w:val="18"/>
        </w:rPr>
        <w:t>注：外伤性癫痫致残程度鉴定时应根据以下信息综合判断：（1）应有脑器质性损伤或中毒性脑病的病史；（2）应有一年来系统治疗的临床病史资料；（3）可能时，应提供其他有效资料，如脑电图检查、血药浓度测定结果等。其中，前两项是癫痫致残程度鉴定的必要条件。</w:t>
      </w:r>
    </w:p>
    <w:p>
      <w:pPr>
        <w:pStyle w:val="15"/>
        <w:spacing w:before="120" w:beforeLines="50" w:after="120" w:afterLines="50" w:line="312" w:lineRule="auto"/>
        <w:ind w:left="0"/>
        <w:rPr>
          <w:rFonts w:hint="eastAsia"/>
        </w:rPr>
      </w:pPr>
      <w:r>
        <w:rPr>
          <w:rFonts w:hint="eastAsia"/>
        </w:rPr>
        <w:t>肌力分级</w:t>
      </w:r>
    </w:p>
    <w:p>
      <w:pPr>
        <w:pStyle w:val="2"/>
        <w:ind w:firstLine="420" w:firstLineChars="200"/>
        <w:rPr>
          <w:rFonts w:hint="eastAsia"/>
        </w:rPr>
      </w:pPr>
      <w:r>
        <w:rPr>
          <w:shd w:val="clear" w:color="auto" w:fill="FFFFFF"/>
        </w:rPr>
        <w:t>肌力是指肌肉收缩时的力量，在临床上分为以下六级</w:t>
      </w:r>
      <w:r>
        <w:rPr>
          <w:rFonts w:hint="eastAsia"/>
          <w:shd w:val="clear" w:color="auto" w:fill="FFFFFF"/>
        </w:rPr>
        <w:t>：</w:t>
      </w:r>
    </w:p>
    <w:p>
      <w:pPr>
        <w:pStyle w:val="16"/>
        <w:numPr>
          <w:ilvl w:val="0"/>
          <w:numId w:val="83"/>
        </w:numPr>
        <w:tabs>
          <w:tab w:val="left" w:pos="720"/>
        </w:tabs>
        <w:rPr>
          <w:rFonts w:hint="eastAsia"/>
        </w:rPr>
      </w:pPr>
      <w:r>
        <w:t>0</w:t>
      </w:r>
      <w:r>
        <w:rPr>
          <w:rFonts w:hint="eastAsia"/>
        </w:rPr>
        <w:t>级  肌肉完全瘫痪，毫无收缩；</w:t>
      </w:r>
    </w:p>
    <w:p>
      <w:pPr>
        <w:pStyle w:val="16"/>
        <w:tabs>
          <w:tab w:val="left" w:pos="720"/>
        </w:tabs>
        <w:rPr>
          <w:rFonts w:hint="eastAsia"/>
        </w:rPr>
      </w:pPr>
      <w:r>
        <w:t>1</w:t>
      </w:r>
      <w:r>
        <w:rPr>
          <w:rFonts w:hint="eastAsia"/>
        </w:rPr>
        <w:t>级  可看到或者触及肌肉轻微收缩，但不能产生动作；</w:t>
      </w:r>
    </w:p>
    <w:p>
      <w:pPr>
        <w:pStyle w:val="16"/>
        <w:tabs>
          <w:tab w:val="left" w:pos="720"/>
        </w:tabs>
        <w:rPr>
          <w:rFonts w:hint="eastAsia"/>
        </w:rPr>
      </w:pPr>
      <w:r>
        <w:t>2</w:t>
      </w:r>
      <w:r>
        <w:rPr>
          <w:rFonts w:hint="eastAsia"/>
        </w:rPr>
        <w:t>级  肌肉在不受重力影响下，可进行运动，即肢体能在床面上移动，但不能抬高；</w:t>
      </w:r>
    </w:p>
    <w:p>
      <w:pPr>
        <w:pStyle w:val="16"/>
        <w:tabs>
          <w:tab w:val="left" w:pos="720"/>
        </w:tabs>
        <w:rPr>
          <w:rFonts w:hint="eastAsia"/>
        </w:rPr>
      </w:pPr>
      <w:r>
        <w:t>3</w:t>
      </w:r>
      <w:r>
        <w:rPr>
          <w:rFonts w:hint="eastAsia"/>
        </w:rPr>
        <w:t>级  在和地心引力相反的方向中尚能完成其动作，但不能对抗外加阻力；</w:t>
      </w:r>
    </w:p>
    <w:p>
      <w:pPr>
        <w:pStyle w:val="16"/>
        <w:tabs>
          <w:tab w:val="left" w:pos="720"/>
        </w:tabs>
        <w:rPr>
          <w:rFonts w:hint="eastAsia"/>
        </w:rPr>
      </w:pPr>
      <w:r>
        <w:t>4</w:t>
      </w:r>
      <w:r>
        <w:rPr>
          <w:rFonts w:hint="eastAsia"/>
        </w:rPr>
        <w:t>级  能对抗一定的阻力，但较正常人降低；</w:t>
      </w:r>
    </w:p>
    <w:p>
      <w:pPr>
        <w:pStyle w:val="16"/>
        <w:tabs>
          <w:tab w:val="left" w:pos="720"/>
        </w:tabs>
        <w:rPr>
          <w:rFonts w:hint="eastAsia"/>
        </w:rPr>
      </w:pPr>
      <w:r>
        <w:t>5</w:t>
      </w:r>
      <w:r>
        <w:rPr>
          <w:rFonts w:hint="eastAsia"/>
        </w:rPr>
        <w:t>级  正常肌力。</w:t>
      </w:r>
    </w:p>
    <w:p>
      <w:pPr>
        <w:spacing w:line="240" w:lineRule="exact"/>
        <w:ind w:firstLine="360" w:firstLineChars="200"/>
        <w:rPr>
          <w:rFonts w:hint="eastAsia" w:ascii="华文楷体" w:hAnsi="华文楷体" w:eastAsia="华文楷体"/>
          <w:sz w:val="18"/>
          <w:szCs w:val="18"/>
        </w:rPr>
      </w:pPr>
      <w:r>
        <w:rPr>
          <w:rFonts w:hint="eastAsia" w:ascii="华文楷体" w:hAnsi="华文楷体" w:eastAsia="华文楷体"/>
          <w:sz w:val="18"/>
          <w:szCs w:val="18"/>
        </w:rPr>
        <w:t>注：肌力检查时应注意以下几点综合判断：（1）肌力减退多见于神经源性和肌源性，如神经系统损伤所致肌力减退，则应有相应的损伤基础；（2）肌力检查结果是否可靠依赖于检查者正确的检查方法和受检者的理解与配合，肌力检查结果的可靠性要结合伤者的配合程度而定；（3）必要时，应进行神经电生理等客观检查。</w:t>
      </w:r>
    </w:p>
    <w:p>
      <w:pPr>
        <w:pStyle w:val="15"/>
        <w:spacing w:before="120" w:beforeLines="50" w:after="120" w:afterLines="50" w:line="312" w:lineRule="auto"/>
        <w:ind w:left="0"/>
        <w:rPr>
          <w:rFonts w:hint="eastAsia"/>
        </w:rPr>
      </w:pPr>
      <w:r>
        <w:rPr>
          <w:rFonts w:hint="eastAsia"/>
        </w:rPr>
        <w:t>非肢体瘫运动障碍分度</w:t>
      </w:r>
    </w:p>
    <w:p>
      <w:pPr/>
      <w:r>
        <w:rPr>
          <w:rFonts w:hint="eastAsia"/>
        </w:rPr>
        <w:t xml:space="preserve">    非肢体瘫的运动障碍，包括肌张力增高、深感觉障碍和（或）小脑性共济失调、不自主运动或者震颤等。根据其对生活自理的影响程度划分为轻、中、重三度：</w:t>
      </w:r>
    </w:p>
    <w:p>
      <w:pPr>
        <w:pStyle w:val="16"/>
        <w:numPr>
          <w:ilvl w:val="0"/>
          <w:numId w:val="84"/>
        </w:numPr>
        <w:tabs>
          <w:tab w:val="left" w:pos="839"/>
        </w:tabs>
        <w:rPr>
          <w:rFonts w:hint="eastAsia"/>
        </w:rPr>
      </w:pPr>
      <w:r>
        <w:rPr>
          <w:rFonts w:hint="eastAsia"/>
        </w:rPr>
        <w:t>重度  不能自行进食、大小便、洗漱、翻身和穿衣，需要他人护理；</w:t>
      </w:r>
    </w:p>
    <w:p>
      <w:pPr>
        <w:pStyle w:val="16"/>
        <w:rPr>
          <w:rFonts w:hint="eastAsia"/>
        </w:rPr>
      </w:pPr>
      <w:r>
        <w:rPr>
          <w:rFonts w:hint="eastAsia"/>
        </w:rPr>
        <w:t>中度  完成上述动作困难，但在他人帮助下可以完成；</w:t>
      </w:r>
    </w:p>
    <w:p>
      <w:pPr>
        <w:pStyle w:val="16"/>
        <w:rPr>
          <w:rFonts w:hint="eastAsia"/>
        </w:rPr>
      </w:pPr>
      <w:r>
        <w:rPr>
          <w:rFonts w:hint="eastAsia"/>
        </w:rPr>
        <w:t>轻度  完成上述动作虽有一定困难，但基本可以自理。</w:t>
      </w:r>
    </w:p>
    <w:p>
      <w:pPr>
        <w:spacing w:line="240" w:lineRule="exact"/>
        <w:rPr>
          <w:rFonts w:hint="eastAsia" w:ascii="华文楷体" w:hAnsi="华文楷体" w:eastAsia="华文楷体"/>
          <w:sz w:val="18"/>
          <w:szCs w:val="18"/>
        </w:rPr>
      </w:pPr>
      <w:r>
        <w:rPr>
          <w:rFonts w:hint="eastAsia"/>
        </w:rPr>
        <w:t xml:space="preserve">    </w:t>
      </w:r>
      <w:r>
        <w:rPr>
          <w:rFonts w:hint="eastAsia" w:ascii="华文楷体" w:hAnsi="华文楷体" w:eastAsia="华文楷体"/>
          <w:sz w:val="18"/>
          <w:szCs w:val="18"/>
        </w:rPr>
        <w:t>注：非肢体运动障碍程度的评定应注意以下几点综合判断：（1）有引起非肢体瘫运动障碍的损伤基础；（2）病史材料中有非肢体瘫运动障碍的诊疗记录和症状描述；（3）有相关生活自理能力受限的检查记录；（4）家属或者近亲属的代诉仅作为参考。</w:t>
      </w:r>
    </w:p>
    <w:p>
      <w:pPr>
        <w:pStyle w:val="15"/>
        <w:spacing w:before="240" w:after="240"/>
        <w:ind w:left="0"/>
        <w:rPr>
          <w:rFonts w:hint="eastAsia"/>
        </w:rPr>
      </w:pPr>
      <w:r>
        <w:rPr>
          <w:rFonts w:hint="eastAsia"/>
        </w:rPr>
        <w:t>尿崩症分度</w:t>
      </w:r>
    </w:p>
    <w:p>
      <w:pPr>
        <w:pStyle w:val="16"/>
        <w:numPr>
          <w:ilvl w:val="0"/>
          <w:numId w:val="85"/>
        </w:numPr>
        <w:tabs>
          <w:tab w:val="left" w:pos="839"/>
        </w:tabs>
        <w:rPr>
          <w:rFonts w:hint="eastAsia"/>
        </w:rPr>
      </w:pPr>
      <w:r>
        <w:rPr>
          <w:rFonts w:hint="eastAsia"/>
        </w:rPr>
        <w:t>重度  每日尿量在10000mL以上；</w:t>
      </w:r>
    </w:p>
    <w:p>
      <w:pPr>
        <w:pStyle w:val="16"/>
        <w:rPr>
          <w:rFonts w:hint="eastAsia"/>
        </w:rPr>
      </w:pPr>
      <w:r>
        <w:rPr>
          <w:rFonts w:hint="eastAsia"/>
        </w:rPr>
        <w:t>中度  每日尿量在5001</w:t>
      </w:r>
      <w:r>
        <w:rPr>
          <w:rFonts w:hAnsi="宋体"/>
        </w:rPr>
        <w:t>～</w:t>
      </w:r>
      <w:r>
        <w:rPr>
          <w:rFonts w:hint="eastAsia"/>
        </w:rPr>
        <w:t>9999mL；</w:t>
      </w:r>
    </w:p>
    <w:p>
      <w:pPr>
        <w:pStyle w:val="16"/>
        <w:rPr>
          <w:rFonts w:hint="eastAsia"/>
        </w:rPr>
      </w:pPr>
      <w:r>
        <w:rPr>
          <w:rFonts w:hint="eastAsia"/>
        </w:rPr>
        <w:t>轻度  每日尿量在2500</w:t>
      </w:r>
      <w:r>
        <w:rPr>
          <w:rFonts w:hAnsi="宋体"/>
        </w:rPr>
        <w:t>～</w:t>
      </w:r>
      <w:r>
        <w:rPr>
          <w:rFonts w:hint="eastAsia"/>
        </w:rPr>
        <w:t>5000mL。</w:t>
      </w:r>
    </w:p>
    <w:p>
      <w:pPr>
        <w:pStyle w:val="15"/>
        <w:spacing w:before="120" w:beforeLines="50" w:after="120" w:afterLines="50" w:line="312" w:lineRule="auto"/>
        <w:ind w:left="840" w:hanging="840" w:hangingChars="400"/>
        <w:rPr>
          <w:rFonts w:hint="eastAsia"/>
        </w:rPr>
      </w:pPr>
      <w:r>
        <w:rPr>
          <w:rFonts w:hint="eastAsia"/>
        </w:rPr>
        <w:t>排便功能障碍（大便失禁）分度</w:t>
      </w:r>
    </w:p>
    <w:p>
      <w:pPr>
        <w:pStyle w:val="16"/>
        <w:numPr>
          <w:ilvl w:val="0"/>
          <w:numId w:val="86"/>
        </w:numPr>
        <w:tabs>
          <w:tab w:val="left" w:pos="839"/>
        </w:tabs>
        <w:rPr>
          <w:rFonts w:hint="eastAsia"/>
        </w:rPr>
      </w:pPr>
      <w:r>
        <w:t>重度</w:t>
      </w:r>
      <w:r>
        <w:rPr>
          <w:rFonts w:hint="eastAsia"/>
        </w:rPr>
        <w:t xml:space="preserve">  </w:t>
      </w:r>
      <w:r>
        <w:t>大便不能控制</w:t>
      </w:r>
      <w:r>
        <w:rPr>
          <w:rFonts w:hint="eastAsia"/>
        </w:rPr>
        <w:t>，</w:t>
      </w:r>
      <w:r>
        <w:t>肛门括约肌收缩力很弱或者丧失</w:t>
      </w:r>
      <w:r>
        <w:rPr>
          <w:rFonts w:hint="eastAsia"/>
        </w:rPr>
        <w:t>，</w:t>
      </w:r>
      <w:r>
        <w:t>肛门括约肌收缩反射很弱或者消失</w:t>
      </w:r>
      <w:r>
        <w:rPr>
          <w:rFonts w:hint="eastAsia"/>
        </w:rPr>
        <w:t>，</w:t>
      </w:r>
      <w:r>
        <w:t>肛门注水法测定直肠内压＜20cmH</w:t>
      </w:r>
      <w:r>
        <w:rPr>
          <w:vertAlign w:val="subscript"/>
        </w:rPr>
        <w:t>2</w:t>
      </w:r>
      <w:r>
        <w:t>O</w:t>
      </w:r>
      <w:r>
        <w:rPr>
          <w:rFonts w:hint="eastAsia"/>
        </w:rPr>
        <w:t>；</w:t>
      </w:r>
    </w:p>
    <w:p>
      <w:pPr>
        <w:pStyle w:val="16"/>
        <w:rPr>
          <w:rFonts w:hint="eastAsia"/>
        </w:rPr>
      </w:pPr>
      <w:r>
        <w:t>轻度</w:t>
      </w:r>
      <w:r>
        <w:rPr>
          <w:rFonts w:hint="eastAsia"/>
        </w:rPr>
        <w:t xml:space="preserve">  </w:t>
      </w:r>
      <w:r>
        <w:t>稀便不能控制</w:t>
      </w:r>
      <w:r>
        <w:rPr>
          <w:rFonts w:hint="eastAsia"/>
        </w:rPr>
        <w:t>，</w:t>
      </w:r>
      <w:r>
        <w:t>肛门括约肌收缩力较弱</w:t>
      </w:r>
      <w:r>
        <w:rPr>
          <w:rFonts w:hint="eastAsia"/>
        </w:rPr>
        <w:t>，</w:t>
      </w:r>
      <w:r>
        <w:t>肛门括约肌收缩反射较弱</w:t>
      </w:r>
      <w:r>
        <w:rPr>
          <w:rFonts w:hint="eastAsia"/>
        </w:rPr>
        <w:t>，</w:t>
      </w:r>
      <w:r>
        <w:t>肛门注水法测定直肠内压20～30cmH</w:t>
      </w:r>
      <w:r>
        <w:rPr>
          <w:vertAlign w:val="subscript"/>
        </w:rPr>
        <w:t>2</w:t>
      </w:r>
      <w:r>
        <w:t>O。</w:t>
      </w:r>
    </w:p>
    <w:p>
      <w:pPr>
        <w:pStyle w:val="17"/>
        <w:numPr>
          <w:numId w:val="0"/>
        </w:numPr>
        <w:spacing w:line="240" w:lineRule="exact"/>
        <w:rPr>
          <w:rFonts w:hint="eastAsia" w:ascii="华文楷体" w:hAnsi="华文楷体" w:eastAsia="华文楷体"/>
          <w:sz w:val="18"/>
          <w:szCs w:val="18"/>
        </w:rPr>
      </w:pPr>
      <w:r>
        <w:rPr>
          <w:rFonts w:hint="eastAsia"/>
        </w:rPr>
        <w:t xml:space="preserve">   </w:t>
      </w:r>
      <w:r>
        <w:rPr>
          <w:rFonts w:hint="eastAsia" w:ascii="华文楷体" w:hAnsi="华文楷体" w:eastAsia="华文楷体"/>
          <w:sz w:val="18"/>
          <w:szCs w:val="18"/>
        </w:rPr>
        <w:t xml:space="preserve"> 注：此处排便功能障碍是指脑、脊髓或者自主神经损伤致肛门括约肌功能障碍所引起的大便失禁。而肛门或者直肠损伤既可以遗留大便失禁，也可以遗留排便困难，应依据相应条款评定致残程度等级。</w:t>
      </w:r>
    </w:p>
    <w:p>
      <w:pPr>
        <w:pStyle w:val="15"/>
        <w:spacing w:before="240" w:after="240"/>
        <w:ind w:left="0"/>
        <w:rPr>
          <w:rFonts w:hint="eastAsia"/>
        </w:rPr>
      </w:pPr>
      <w:r>
        <w:rPr>
          <w:rFonts w:hint="eastAsia"/>
        </w:rPr>
        <w:t>排尿功能障碍分度</w:t>
      </w:r>
    </w:p>
    <w:p>
      <w:pPr>
        <w:pStyle w:val="16"/>
        <w:numPr>
          <w:ilvl w:val="0"/>
          <w:numId w:val="87"/>
        </w:numPr>
        <w:tabs>
          <w:tab w:val="left" w:pos="839"/>
        </w:tabs>
        <w:rPr>
          <w:rFonts w:hint="eastAsia"/>
        </w:rPr>
      </w:pPr>
      <w:r>
        <w:rPr>
          <w:rFonts w:hint="eastAsia"/>
        </w:rPr>
        <w:t>重度  出现真性重</w:t>
      </w:r>
      <w:r>
        <w:t>度尿失禁或者</w:t>
      </w:r>
      <w:r>
        <w:rPr>
          <w:rFonts w:hint="eastAsia"/>
        </w:rPr>
        <w:t>排尿困难且</w:t>
      </w:r>
      <w:r>
        <w:t>尿潴留残余尿</w:t>
      </w:r>
      <w:r>
        <w:rPr>
          <w:rFonts w:hint="eastAsia"/>
        </w:rPr>
        <w:t>≥</w:t>
      </w:r>
      <w:r>
        <w:t>50mL者</w:t>
      </w:r>
      <w:r>
        <w:rPr>
          <w:rFonts w:hint="eastAsia"/>
        </w:rPr>
        <w:t>；</w:t>
      </w:r>
    </w:p>
    <w:p>
      <w:pPr>
        <w:pStyle w:val="16"/>
        <w:rPr>
          <w:rFonts w:hint="eastAsia"/>
        </w:rPr>
      </w:pPr>
      <w:r>
        <w:t>轻度</w:t>
      </w:r>
      <w:r>
        <w:rPr>
          <w:rFonts w:hint="eastAsia"/>
        </w:rPr>
        <w:t xml:space="preserve">  </w:t>
      </w:r>
      <w:r>
        <w:t>出现真性轻度尿失禁</w:t>
      </w:r>
      <w:r>
        <w:rPr>
          <w:rFonts w:hint="eastAsia"/>
        </w:rPr>
        <w:t>或者排尿困难且</w:t>
      </w:r>
      <w:r>
        <w:t>尿潴留残余尿</w:t>
      </w:r>
      <w:r>
        <w:rPr>
          <w:rFonts w:hint="eastAsia"/>
        </w:rPr>
        <w:t>≥1</w:t>
      </w:r>
      <w:r>
        <w:t>0mL</w:t>
      </w:r>
      <w:r>
        <w:rPr>
          <w:rFonts w:hint="eastAsia"/>
        </w:rPr>
        <w:t>但</w:t>
      </w:r>
      <w:r>
        <w:t>＜</w:t>
      </w:r>
      <w:r>
        <w:rPr>
          <w:rFonts w:hint="eastAsia"/>
        </w:rPr>
        <w:t>50</w:t>
      </w:r>
      <w:r>
        <w:t>mL者。</w:t>
      </w:r>
    </w:p>
    <w:p>
      <w:pPr>
        <w:pStyle w:val="17"/>
        <w:numPr>
          <w:numId w:val="0"/>
        </w:numPr>
        <w:spacing w:line="240" w:lineRule="exact"/>
        <w:ind w:firstLine="420"/>
        <w:rPr>
          <w:rFonts w:hint="eastAsia" w:ascii="华文楷体" w:hAnsi="华文楷体" w:eastAsia="华文楷体"/>
          <w:sz w:val="18"/>
          <w:szCs w:val="18"/>
        </w:rPr>
      </w:pPr>
      <w:r>
        <w:rPr>
          <w:rFonts w:hint="eastAsia" w:ascii="华文楷体" w:hAnsi="华文楷体" w:eastAsia="华文楷体"/>
          <w:sz w:val="18"/>
          <w:szCs w:val="18"/>
        </w:rPr>
        <w:t>注：此处排尿功能障碍是指脑、脊髓或者自主神经损伤致膀胱括约肌功能障碍所引起的小便失禁或者尿潴留。当膀胱括约肌损伤遗留尿失禁或者尿潴留时，也可依据排尿功能障碍程度评定致残程度等级。</w:t>
      </w:r>
    </w:p>
    <w:p>
      <w:pPr>
        <w:pStyle w:val="15"/>
        <w:spacing w:before="120" w:beforeLines="50" w:after="120" w:afterLines="50" w:line="312" w:lineRule="auto"/>
        <w:ind w:left="0"/>
        <w:rPr>
          <w:rFonts w:hint="eastAsia"/>
        </w:rPr>
      </w:pPr>
      <w:r>
        <w:rPr>
          <w:rFonts w:hint="eastAsia"/>
        </w:rPr>
        <w:t>器质性阴茎勃起障碍分度</w:t>
      </w:r>
    </w:p>
    <w:p>
      <w:pPr>
        <w:pStyle w:val="16"/>
        <w:numPr>
          <w:ilvl w:val="0"/>
          <w:numId w:val="88"/>
        </w:numPr>
        <w:tabs>
          <w:tab w:val="left" w:pos="839"/>
        </w:tabs>
        <w:rPr>
          <w:rFonts w:hint="eastAsia"/>
        </w:rPr>
      </w:pPr>
      <w:r>
        <w:rPr>
          <w:rFonts w:hint="eastAsia"/>
        </w:rPr>
        <w:t>重度  阴茎无勃起反应，阴茎硬度及周径均无改变；</w:t>
      </w:r>
    </w:p>
    <w:p>
      <w:pPr>
        <w:pStyle w:val="16"/>
        <w:rPr>
          <w:rFonts w:hint="eastAsia"/>
        </w:rPr>
      </w:pPr>
      <w:r>
        <w:rPr>
          <w:rFonts w:hint="eastAsia"/>
        </w:rPr>
        <w:t>中度  阴茎勃起时最大硬度＞</w:t>
      </w:r>
      <w:r>
        <w:t>0％，＜40％</w:t>
      </w:r>
      <w:r>
        <w:rPr>
          <w:rFonts w:hint="eastAsia"/>
        </w:rPr>
        <w:t>；</w:t>
      </w:r>
    </w:p>
    <w:p>
      <w:pPr>
        <w:pStyle w:val="16"/>
        <w:rPr>
          <w:rFonts w:hint="eastAsia"/>
        </w:rPr>
      </w:pPr>
      <w:r>
        <w:t>轻度</w:t>
      </w:r>
      <w:r>
        <w:rPr>
          <w:rFonts w:hint="eastAsia"/>
        </w:rPr>
        <w:t xml:space="preserve">  </w:t>
      </w:r>
      <w:r>
        <w:t>阴茎勃起时最大硬度</w:t>
      </w:r>
      <w:r>
        <w:rPr>
          <w:rFonts w:hint="eastAsia" w:hAnsi="宋体"/>
        </w:rPr>
        <w:t>≥</w:t>
      </w:r>
      <w:r>
        <w:t>40％，＜60％</w:t>
      </w:r>
      <w:r>
        <w:rPr>
          <w:rFonts w:hint="eastAsia"/>
        </w:rPr>
        <w:t>，或者阴茎勃起时最大硬度虽达</w:t>
      </w:r>
      <w:r>
        <w:t>60％</w:t>
      </w:r>
      <w:r>
        <w:rPr>
          <w:rFonts w:hint="eastAsia"/>
        </w:rPr>
        <w:t>，但持续时间</w:t>
      </w:r>
      <w:r>
        <w:t>＜10分钟</w:t>
      </w:r>
      <w:r>
        <w:rPr>
          <w:rFonts w:hint="eastAsia"/>
        </w:rPr>
        <w:t>。</w:t>
      </w:r>
    </w:p>
    <w:p>
      <w:pPr>
        <w:pStyle w:val="10"/>
        <w:spacing w:line="240" w:lineRule="exact"/>
        <w:ind w:firstLine="360"/>
        <w:rPr>
          <w:rFonts w:hint="eastAsia" w:ascii="华文楷体" w:hAnsi="华文楷体" w:eastAsia="华文楷体"/>
          <w:sz w:val="18"/>
          <w:szCs w:val="18"/>
        </w:rPr>
      </w:pPr>
      <w:r>
        <w:rPr>
          <w:rFonts w:hint="eastAsia" w:ascii="华文楷体" w:hAnsi="华文楷体" w:eastAsia="华文楷体"/>
          <w:sz w:val="18"/>
          <w:szCs w:val="18"/>
        </w:rPr>
        <w:t>注1：阴茎勃起</w:t>
      </w:r>
      <w:r>
        <w:rPr>
          <w:rFonts w:ascii="华文楷体" w:hAnsi="华文楷体" w:eastAsia="华文楷体"/>
          <w:sz w:val="18"/>
          <w:szCs w:val="18"/>
        </w:rPr>
        <w:t>正常</w:t>
      </w:r>
      <w:r>
        <w:rPr>
          <w:rFonts w:hint="eastAsia" w:ascii="华文楷体" w:hAnsi="华文楷体" w:eastAsia="华文楷体"/>
          <w:sz w:val="18"/>
          <w:szCs w:val="18"/>
        </w:rPr>
        <w:t xml:space="preserve">值范围  </w:t>
      </w:r>
      <w:r>
        <w:rPr>
          <w:rFonts w:ascii="华文楷体" w:hAnsi="华文楷体" w:eastAsia="华文楷体"/>
          <w:sz w:val="18"/>
          <w:szCs w:val="18"/>
        </w:rPr>
        <w:t>最大硬度</w:t>
      </w:r>
      <w:r>
        <w:rPr>
          <w:rFonts w:hint="eastAsia" w:ascii="华文楷体" w:hAnsi="华文楷体" w:eastAsia="华文楷体"/>
          <w:sz w:val="18"/>
          <w:szCs w:val="18"/>
        </w:rPr>
        <w:t>≥</w:t>
      </w:r>
      <w:r>
        <w:rPr>
          <w:rFonts w:ascii="华文楷体" w:hAnsi="华文楷体" w:eastAsia="华文楷体"/>
          <w:sz w:val="18"/>
          <w:szCs w:val="18"/>
        </w:rPr>
        <w:t>60％，持续时间</w:t>
      </w:r>
      <w:r>
        <w:rPr>
          <w:rFonts w:hint="eastAsia" w:ascii="华文楷体" w:hAnsi="华文楷体" w:eastAsia="华文楷体"/>
          <w:sz w:val="18"/>
          <w:szCs w:val="18"/>
        </w:rPr>
        <w:t>≥</w:t>
      </w:r>
      <w:r>
        <w:rPr>
          <w:rFonts w:ascii="华文楷体" w:hAnsi="华文楷体" w:eastAsia="华文楷体"/>
          <w:sz w:val="18"/>
          <w:szCs w:val="18"/>
        </w:rPr>
        <w:t>10分钟。</w:t>
      </w:r>
    </w:p>
    <w:p>
      <w:pPr>
        <w:pStyle w:val="10"/>
        <w:spacing w:line="240" w:lineRule="exact"/>
        <w:ind w:firstLine="360"/>
        <w:rPr>
          <w:rFonts w:hint="eastAsia" w:ascii="华文楷体" w:hAnsi="华文楷体" w:eastAsia="华文楷体"/>
          <w:sz w:val="18"/>
          <w:szCs w:val="18"/>
        </w:rPr>
      </w:pPr>
      <w:r>
        <w:rPr>
          <w:rFonts w:hint="eastAsia" w:ascii="华文楷体" w:hAnsi="华文楷体" w:eastAsia="华文楷体"/>
          <w:sz w:val="18"/>
          <w:szCs w:val="18"/>
        </w:rPr>
        <w:t>注2：器质性阴茎勃起障碍是指脑、脊髓或者周围神经（躯体神经或者自主神经）损伤所引起的。其他致伤因素所致的血管性、内分泌性或者药物性阴茎勃起障碍也可依此分度评定致残程度等级。</w:t>
      </w:r>
    </w:p>
    <w:p>
      <w:pPr>
        <w:pStyle w:val="15"/>
        <w:spacing w:before="120" w:beforeLines="50" w:after="120" w:afterLines="50" w:line="312" w:lineRule="auto"/>
        <w:ind w:left="0"/>
        <w:rPr>
          <w:rFonts w:hint="eastAsia"/>
        </w:rPr>
      </w:pPr>
      <w:r>
        <w:rPr>
          <w:rFonts w:hint="eastAsia"/>
        </w:rPr>
        <w:t>阴茎勃起功能影响程度分级</w:t>
      </w:r>
    </w:p>
    <w:p>
      <w:pPr>
        <w:pStyle w:val="16"/>
        <w:numPr>
          <w:ilvl w:val="0"/>
          <w:numId w:val="89"/>
        </w:numPr>
        <w:tabs>
          <w:tab w:val="left" w:pos="839"/>
        </w:tabs>
        <w:rPr>
          <w:rFonts w:hint="eastAsia"/>
        </w:rPr>
      </w:pPr>
      <w:r>
        <w:rPr>
          <w:rFonts w:hint="eastAsia"/>
        </w:rPr>
        <w:t>严重影响阴茎勃起功能  连续监测三晚，阴茎夜间勃起平均每晚</w:t>
      </w:r>
      <w:r>
        <w:rPr>
          <w:rFonts w:hint="eastAsia" w:hAnsi="宋体"/>
        </w:rPr>
        <w:t>≤</w:t>
      </w:r>
      <w:r>
        <w:rPr>
          <w:rFonts w:hint="eastAsia"/>
        </w:rPr>
        <w:t>1次；</w:t>
      </w:r>
    </w:p>
    <w:p>
      <w:pPr>
        <w:pStyle w:val="16"/>
        <w:rPr>
          <w:rFonts w:hint="eastAsia"/>
        </w:rPr>
      </w:pPr>
      <w:r>
        <w:rPr>
          <w:rFonts w:hint="eastAsia"/>
        </w:rPr>
        <w:t>影响阴茎勃起功能  连续监测三晚，阴茎夜间勃起平均每晚</w:t>
      </w:r>
      <w:r>
        <w:rPr>
          <w:rFonts w:hint="eastAsia" w:hAnsi="宋体"/>
        </w:rPr>
        <w:t>≤</w:t>
      </w:r>
      <w:r>
        <w:rPr>
          <w:rFonts w:hint="eastAsia"/>
        </w:rPr>
        <w:t>3次。</w:t>
      </w:r>
    </w:p>
    <w:p>
      <w:pPr>
        <w:pStyle w:val="15"/>
        <w:spacing w:before="120" w:beforeLines="50" w:after="120" w:afterLines="50" w:line="312" w:lineRule="auto"/>
        <w:ind w:left="0"/>
        <w:rPr>
          <w:rFonts w:hint="eastAsia"/>
        </w:rPr>
      </w:pPr>
      <w:r>
        <w:rPr>
          <w:rFonts w:hint="eastAsia"/>
        </w:rPr>
        <w:t>面部瘢痕分类</w:t>
      </w:r>
    </w:p>
    <w:p>
      <w:pPr>
        <w:pStyle w:val="10"/>
        <w:rPr>
          <w:rFonts w:hint="eastAsia"/>
        </w:rPr>
      </w:pPr>
      <w:r>
        <w:rPr>
          <w:rFonts w:hint="eastAsia"/>
        </w:rPr>
        <w:t>本标准规定的面部包括前额发际下，两耳根前与下颌下缘之间的区域，包括额部、眶部、鼻部、口唇部、颏部、颧部、颊部和腮腺咬肌部，不包括耳廓。以眉弓水平线为上横线，以下唇唇红缘中点处作水平线为下横线，以双侧外眦处作两条垂直线，上述四条线围绕的中央部分为面部中心区。</w:t>
      </w:r>
    </w:p>
    <w:p>
      <w:pPr>
        <w:pStyle w:val="10"/>
        <w:rPr>
          <w:rFonts w:hint="eastAsia"/>
        </w:rPr>
      </w:pPr>
      <w:r>
        <w:rPr>
          <w:rFonts w:hint="eastAsia"/>
        </w:rPr>
        <w:t>本标准将面部瘢痕分为以下几类：</w:t>
      </w:r>
    </w:p>
    <w:p>
      <w:pPr>
        <w:pStyle w:val="16"/>
        <w:numPr>
          <w:ilvl w:val="0"/>
          <w:numId w:val="90"/>
        </w:numPr>
        <w:tabs>
          <w:tab w:val="left" w:pos="839"/>
        </w:tabs>
      </w:pPr>
      <w:r>
        <w:rPr>
          <w:rFonts w:hint="eastAsia"/>
        </w:rPr>
        <w:t>面部块状瘢痕  是指增生性瘢痕、瘢痕疙瘩、蹼状瘢痕等，不包括浅表瘢痕（外观多平坦，与四周皮肤表面平齐或者稍低，平滑光亮，色素减退，一般不引起功能障碍）；</w:t>
      </w:r>
    </w:p>
    <w:p>
      <w:pPr>
        <w:pStyle w:val="16"/>
      </w:pPr>
      <w:r>
        <w:rPr>
          <w:rFonts w:hint="eastAsia"/>
        </w:rPr>
        <w:t>面部细小瘢痕（或者色素明显改变）  是指面部较密集散在瘢痕或者色素沉着（或者脱失），瘢痕呈网状或者斑片状，其间可见正常皮肤。</w:t>
      </w:r>
    </w:p>
    <w:p>
      <w:pPr>
        <w:pStyle w:val="15"/>
        <w:wordWrap/>
        <w:spacing w:before="120" w:beforeLines="50" w:after="120" w:afterLines="50" w:line="320" w:lineRule="exact"/>
        <w:ind w:left="-105" w:leftChars="-50" w:firstLine="105" w:firstLineChars="50"/>
        <w:rPr>
          <w:rFonts w:hint="eastAsia"/>
        </w:rPr>
      </w:pPr>
      <w:r>
        <w:rPr>
          <w:rFonts w:hint="eastAsia"/>
        </w:rPr>
        <w:t>容貌毁损分度</w:t>
      </w:r>
    </w:p>
    <w:p>
      <w:pPr>
        <w:pStyle w:val="18"/>
        <w:spacing w:before="120" w:beforeLines="0" w:after="120" w:afterLines="0"/>
        <w:rPr>
          <w:rFonts w:hint="eastAsia"/>
        </w:rPr>
      </w:pPr>
      <w:r>
        <w:rPr>
          <w:rFonts w:hint="eastAsia"/>
        </w:rPr>
        <w:t>重度</w:t>
      </w:r>
    </w:p>
    <w:p>
      <w:pPr>
        <w:pStyle w:val="18"/>
        <w:numPr>
          <w:numId w:val="0"/>
        </w:numPr>
        <w:spacing w:before="120" w:after="120"/>
        <w:ind w:firstLine="420" w:firstLineChars="200"/>
        <w:rPr>
          <w:rFonts w:hint="eastAsia" w:ascii="宋体" w:hAnsi="宋体" w:eastAsia="宋体"/>
        </w:rPr>
      </w:pPr>
      <w:r>
        <w:rPr>
          <w:rFonts w:hint="eastAsia" w:ascii="宋体" w:hAnsi="宋体" w:eastAsia="宋体"/>
        </w:rPr>
        <w:t>面部瘢痕畸形，并有以下六项中四项者：</w:t>
      </w:r>
    </w:p>
    <w:p>
      <w:pPr>
        <w:pStyle w:val="16"/>
        <w:numPr>
          <w:ilvl w:val="0"/>
          <w:numId w:val="91"/>
        </w:numPr>
        <w:tabs>
          <w:tab w:val="left" w:pos="839"/>
        </w:tabs>
        <w:rPr>
          <w:rFonts w:hint="eastAsia"/>
        </w:rPr>
      </w:pPr>
      <w:r>
        <w:rPr>
          <w:rFonts w:hint="eastAsia"/>
        </w:rPr>
        <w:t>双侧眉毛完全缺失；</w:t>
      </w:r>
    </w:p>
    <w:p>
      <w:pPr>
        <w:pStyle w:val="16"/>
        <w:rPr>
          <w:rFonts w:hint="eastAsia"/>
        </w:rPr>
      </w:pPr>
      <w:r>
        <w:rPr>
          <w:rFonts w:hint="eastAsia"/>
        </w:rPr>
        <w:t>双睑外翻或者完全缺失；</w:t>
      </w:r>
    </w:p>
    <w:p>
      <w:pPr>
        <w:pStyle w:val="16"/>
        <w:rPr>
          <w:rFonts w:hint="eastAsia"/>
        </w:rPr>
      </w:pPr>
      <w:r>
        <w:rPr>
          <w:rFonts w:hint="eastAsia"/>
        </w:rPr>
        <w:t>双侧耳廓完全缺失；</w:t>
      </w:r>
    </w:p>
    <w:p>
      <w:pPr>
        <w:pStyle w:val="16"/>
        <w:rPr>
          <w:rFonts w:hint="eastAsia"/>
        </w:rPr>
      </w:pPr>
      <w:r>
        <w:rPr>
          <w:rFonts w:hint="eastAsia"/>
        </w:rPr>
        <w:t>外鼻完全缺失；</w:t>
      </w:r>
    </w:p>
    <w:p>
      <w:pPr>
        <w:pStyle w:val="16"/>
        <w:rPr>
          <w:rFonts w:hint="eastAsia"/>
        </w:rPr>
      </w:pPr>
      <w:r>
        <w:rPr>
          <w:rFonts w:hint="eastAsia"/>
        </w:rPr>
        <w:t>上、下唇外翻或者小口畸形；</w:t>
      </w:r>
    </w:p>
    <w:p>
      <w:pPr>
        <w:pStyle w:val="16"/>
        <w:rPr>
          <w:rFonts w:hint="eastAsia"/>
        </w:rPr>
      </w:pPr>
      <w:r>
        <w:rPr>
          <w:rFonts w:hint="eastAsia"/>
        </w:rPr>
        <w:t>颏颈粘连（中度以上）。</w:t>
      </w:r>
    </w:p>
    <w:p>
      <w:pPr>
        <w:pStyle w:val="18"/>
        <w:spacing w:before="120" w:after="120"/>
        <w:rPr>
          <w:rFonts w:hint="eastAsia"/>
        </w:rPr>
      </w:pPr>
      <w:r>
        <w:rPr>
          <w:rFonts w:hint="eastAsia"/>
        </w:rPr>
        <w:t>中度</w:t>
      </w:r>
    </w:p>
    <w:p>
      <w:pPr>
        <w:pStyle w:val="10"/>
        <w:rPr>
          <w:rFonts w:hint="eastAsia"/>
        </w:rPr>
      </w:pPr>
      <w:r>
        <w:rPr>
          <w:rFonts w:hint="eastAsia" w:hAnsi="宋体"/>
        </w:rPr>
        <w:t>面部瘢痕畸形，</w:t>
      </w:r>
      <w:r>
        <w:rPr>
          <w:rFonts w:hint="eastAsia"/>
        </w:rPr>
        <w:t>并有以下六项中三项者：</w:t>
      </w:r>
    </w:p>
    <w:p>
      <w:pPr>
        <w:pStyle w:val="16"/>
        <w:numPr>
          <w:ilvl w:val="0"/>
          <w:numId w:val="92"/>
        </w:numPr>
        <w:tabs>
          <w:tab w:val="left" w:pos="839"/>
        </w:tabs>
        <w:rPr>
          <w:rFonts w:hint="eastAsia"/>
        </w:rPr>
      </w:pPr>
      <w:r>
        <w:rPr>
          <w:rFonts w:hint="eastAsia"/>
        </w:rPr>
        <w:t>眉毛部分缺失（累计达一侧眉毛1/2）；</w:t>
      </w:r>
    </w:p>
    <w:p>
      <w:pPr>
        <w:pStyle w:val="16"/>
        <w:rPr>
          <w:rFonts w:hint="eastAsia"/>
        </w:rPr>
      </w:pPr>
      <w:r>
        <w:rPr>
          <w:rFonts w:hint="eastAsia"/>
        </w:rPr>
        <w:t>眼睑外翻或者部分缺失；</w:t>
      </w:r>
    </w:p>
    <w:p>
      <w:pPr>
        <w:pStyle w:val="16"/>
        <w:rPr>
          <w:rFonts w:hint="eastAsia"/>
        </w:rPr>
      </w:pPr>
      <w:r>
        <w:rPr>
          <w:rFonts w:hint="eastAsia"/>
        </w:rPr>
        <w:t>耳廓部分缺损（累计达一侧耳廓15%）；</w:t>
      </w:r>
    </w:p>
    <w:p>
      <w:pPr>
        <w:pStyle w:val="16"/>
        <w:rPr>
          <w:rFonts w:hint="eastAsia"/>
        </w:rPr>
      </w:pPr>
      <w:r>
        <w:rPr>
          <w:rFonts w:hint="eastAsia"/>
        </w:rPr>
        <w:t>鼻部分缺损（鼻尖或者鼻翼缺损深达软骨）；</w:t>
      </w:r>
    </w:p>
    <w:p>
      <w:pPr>
        <w:pStyle w:val="16"/>
        <w:rPr>
          <w:rFonts w:hint="eastAsia"/>
        </w:rPr>
      </w:pPr>
      <w:r>
        <w:rPr>
          <w:rFonts w:hint="eastAsia"/>
        </w:rPr>
        <w:t>唇外翻或者小口畸形；</w:t>
      </w:r>
    </w:p>
    <w:p>
      <w:pPr>
        <w:pStyle w:val="16"/>
        <w:rPr>
          <w:rFonts w:hint="eastAsia"/>
        </w:rPr>
      </w:pPr>
      <w:r>
        <w:rPr>
          <w:rFonts w:hint="eastAsia"/>
        </w:rPr>
        <w:t>颏颈粘连（轻度）。</w:t>
      </w:r>
    </w:p>
    <w:p>
      <w:pPr>
        <w:pStyle w:val="18"/>
        <w:spacing w:before="120" w:beforeLines="0" w:after="120" w:afterLines="0"/>
        <w:rPr>
          <w:rFonts w:hint="eastAsia"/>
        </w:rPr>
      </w:pPr>
      <w:r>
        <w:rPr>
          <w:rFonts w:hint="eastAsia"/>
        </w:rPr>
        <w:t>轻度</w:t>
      </w:r>
    </w:p>
    <w:p>
      <w:pPr>
        <w:pStyle w:val="18"/>
        <w:numPr>
          <w:numId w:val="0"/>
        </w:numPr>
        <w:spacing w:before="120" w:beforeLines="0" w:after="120" w:afterLines="0"/>
        <w:ind w:firstLine="420" w:firstLineChars="200"/>
        <w:rPr>
          <w:rFonts w:hint="eastAsia" w:ascii="宋体" w:hAnsi="宋体" w:eastAsia="宋体"/>
        </w:rPr>
      </w:pPr>
      <w:r>
        <w:rPr>
          <w:rFonts w:hint="eastAsia" w:ascii="宋体" w:hAnsi="宋体" w:eastAsia="宋体"/>
        </w:rPr>
        <w:t>含中度畸形六项中二项者。</w:t>
      </w:r>
    </w:p>
    <w:p>
      <w:pPr>
        <w:pStyle w:val="15"/>
        <w:spacing w:before="240" w:beforeLines="0" w:after="240" w:afterLines="0"/>
        <w:ind w:left="0"/>
        <w:rPr>
          <w:rFonts w:hint="eastAsia"/>
        </w:rPr>
      </w:pPr>
      <w:r>
        <w:rPr>
          <w:rFonts w:hint="eastAsia"/>
        </w:rPr>
        <w:t>眼睑畸形分度</w:t>
      </w:r>
    </w:p>
    <w:p>
      <w:pPr>
        <w:pStyle w:val="18"/>
        <w:spacing w:before="120" w:beforeLines="0" w:after="120" w:afterLines="0"/>
        <w:rPr>
          <w:rFonts w:hint="eastAsia"/>
        </w:rPr>
      </w:pPr>
      <w:r>
        <w:rPr>
          <w:rFonts w:hint="eastAsia"/>
        </w:rPr>
        <w:t>眼睑轻度畸形</w:t>
      </w:r>
    </w:p>
    <w:p>
      <w:pPr>
        <w:pStyle w:val="16"/>
        <w:numPr>
          <w:ilvl w:val="0"/>
          <w:numId w:val="93"/>
        </w:numPr>
        <w:tabs>
          <w:tab w:val="left" w:pos="839"/>
        </w:tabs>
        <w:rPr>
          <w:rFonts w:hint="eastAsia"/>
        </w:rPr>
      </w:pPr>
      <w:r>
        <w:rPr>
          <w:rFonts w:hint="eastAsia"/>
        </w:rPr>
        <w:t>轻度眼睑外翻  睑结膜与眼球分离，泪点脱离泪阜；</w:t>
      </w:r>
    </w:p>
    <w:p>
      <w:pPr>
        <w:pStyle w:val="16"/>
        <w:rPr>
          <w:rFonts w:hint="eastAsia"/>
        </w:rPr>
      </w:pPr>
      <w:r>
        <w:rPr>
          <w:rFonts w:hint="eastAsia"/>
        </w:rPr>
        <w:t>眼睑闭合不全  自然闭合及用力闭合时均不能使睑裂完全消失；</w:t>
      </w:r>
    </w:p>
    <w:p>
      <w:pPr>
        <w:pStyle w:val="16"/>
        <w:rPr>
          <w:rFonts w:hint="eastAsia"/>
        </w:rPr>
      </w:pPr>
      <w:r>
        <w:rPr>
          <w:rFonts w:hint="eastAsia"/>
        </w:rPr>
        <w:t>轻度眼睑缺损  上睑和/或下睑软组织缺损，范围</w:t>
      </w:r>
      <w:r>
        <w:t>＜</w:t>
      </w:r>
      <w:r>
        <w:rPr>
          <w:rFonts w:hint="eastAsia"/>
        </w:rPr>
        <w:t>一侧上睑的1/2。</w:t>
      </w:r>
    </w:p>
    <w:p>
      <w:pPr>
        <w:pStyle w:val="18"/>
        <w:spacing w:before="120" w:after="120"/>
        <w:rPr>
          <w:rFonts w:hint="eastAsia"/>
        </w:rPr>
      </w:pPr>
      <w:r>
        <w:rPr>
          <w:rFonts w:hint="eastAsia"/>
        </w:rPr>
        <w:t>眼睑严重畸形</w:t>
      </w:r>
    </w:p>
    <w:p>
      <w:pPr>
        <w:pStyle w:val="16"/>
        <w:numPr>
          <w:ilvl w:val="0"/>
          <w:numId w:val="94"/>
        </w:numPr>
        <w:tabs>
          <w:tab w:val="left" w:pos="839"/>
        </w:tabs>
        <w:rPr>
          <w:rFonts w:hint="eastAsia"/>
        </w:rPr>
      </w:pPr>
      <w:r>
        <w:rPr>
          <w:rFonts w:hint="eastAsia"/>
        </w:rPr>
        <w:t>重度眼睑外翻  睑结膜严重外翻，穹隆部消失；</w:t>
      </w:r>
    </w:p>
    <w:p>
      <w:pPr>
        <w:pStyle w:val="16"/>
        <w:rPr>
          <w:rFonts w:hint="eastAsia"/>
        </w:rPr>
      </w:pPr>
      <w:r>
        <w:rPr>
          <w:rFonts w:hint="eastAsia"/>
        </w:rPr>
        <w:t>重度眼睑缺损  上睑和/或下睑软组织缺损，范围≥一侧上睑的1/2。</w:t>
      </w:r>
    </w:p>
    <w:p>
      <w:pPr>
        <w:pStyle w:val="15"/>
        <w:wordWrap/>
        <w:spacing w:before="120" w:beforeLines="50" w:after="120" w:afterLines="50" w:line="320" w:lineRule="exact"/>
        <w:ind w:left="0"/>
        <w:rPr>
          <w:rFonts w:hint="eastAsia"/>
        </w:rPr>
      </w:pPr>
      <w:r>
        <w:rPr>
          <w:rFonts w:hint="eastAsia"/>
        </w:rPr>
        <w:t>张口受限分度</w:t>
      </w:r>
    </w:p>
    <w:p>
      <w:pPr>
        <w:pStyle w:val="16"/>
        <w:numPr>
          <w:ilvl w:val="0"/>
          <w:numId w:val="95"/>
        </w:numPr>
        <w:tabs>
          <w:tab w:val="left" w:pos="839"/>
        </w:tabs>
        <w:rPr>
          <w:rFonts w:hint="eastAsia"/>
        </w:rPr>
      </w:pPr>
      <w:r>
        <w:rPr>
          <w:rFonts w:hint="eastAsia"/>
        </w:rPr>
        <w:t>张口受限</w:t>
      </w:r>
      <w:r>
        <w:rPr>
          <w:rFonts w:hint="eastAsia" w:hAnsi="宋体"/>
        </w:rPr>
        <w:t>Ⅰ</w:t>
      </w:r>
      <w:r>
        <w:rPr>
          <w:rFonts w:hint="eastAsia"/>
        </w:rPr>
        <w:t>度  尽力张口时，上、下切牙间仅可勉强置入垂直并列之示指和中指；</w:t>
      </w:r>
    </w:p>
    <w:p>
      <w:pPr>
        <w:pStyle w:val="16"/>
        <w:rPr>
          <w:rFonts w:hint="eastAsia"/>
        </w:rPr>
      </w:pPr>
      <w:r>
        <w:rPr>
          <w:rFonts w:hint="eastAsia"/>
        </w:rPr>
        <w:t>张口受限</w:t>
      </w:r>
      <w:r>
        <w:rPr>
          <w:rFonts w:hint="eastAsia" w:hAnsi="宋体"/>
        </w:rPr>
        <w:t>Ⅱ</w:t>
      </w:r>
      <w:r>
        <w:rPr>
          <w:rFonts w:hint="eastAsia"/>
        </w:rPr>
        <w:t>度  尽力张口时，上、下切牙间仅可置入垂直之示指；</w:t>
      </w:r>
    </w:p>
    <w:p>
      <w:pPr>
        <w:pStyle w:val="16"/>
        <w:rPr>
          <w:rFonts w:hint="eastAsia"/>
        </w:rPr>
      </w:pPr>
      <w:r>
        <w:rPr>
          <w:rFonts w:hint="eastAsia"/>
        </w:rPr>
        <w:t>张口受限</w:t>
      </w:r>
      <w:r>
        <w:rPr>
          <w:rFonts w:hint="eastAsia" w:hAnsi="宋体"/>
        </w:rPr>
        <w:t>Ⅲ</w:t>
      </w:r>
      <w:r>
        <w:rPr>
          <w:rFonts w:hint="eastAsia"/>
        </w:rPr>
        <w:t>度  尽力张口时，上、下切牙间距小于示指之横径。</w:t>
      </w:r>
    </w:p>
    <w:p>
      <w:pPr>
        <w:pStyle w:val="15"/>
        <w:wordWrap/>
        <w:spacing w:before="120" w:beforeLines="50" w:after="120" w:afterLines="50" w:line="320" w:lineRule="exact"/>
        <w:ind w:left="0"/>
        <w:rPr>
          <w:rFonts w:hint="eastAsia"/>
        </w:rPr>
      </w:pPr>
      <w:r>
        <w:rPr>
          <w:rFonts w:hint="eastAsia"/>
        </w:rPr>
        <w:t>面瘫（面神经麻痹）分级</w:t>
      </w:r>
    </w:p>
    <w:p>
      <w:pPr>
        <w:pStyle w:val="16"/>
        <w:numPr>
          <w:ilvl w:val="0"/>
          <w:numId w:val="96"/>
        </w:numPr>
        <w:tabs>
          <w:tab w:val="left" w:pos="839"/>
        </w:tabs>
        <w:rPr>
          <w:rFonts w:hint="eastAsia"/>
        </w:rPr>
      </w:pPr>
      <w:r>
        <w:rPr>
          <w:rFonts w:hint="eastAsia"/>
        </w:rPr>
        <w:t>完全性面瘫  是指面神经5个分支（颞支、颧支、颊支、下颌缘支和颈支）支配的全部肌肉（包括颈部的颈阔肌）瘫痪；</w:t>
      </w:r>
    </w:p>
    <w:p>
      <w:pPr>
        <w:pStyle w:val="16"/>
        <w:rPr>
          <w:rFonts w:hint="eastAsia"/>
        </w:rPr>
      </w:pPr>
      <w:r>
        <w:rPr>
          <w:rFonts w:hint="eastAsia"/>
        </w:rPr>
        <w:t>大部分面瘫  是指面神经5个分支中有3个分支支配的肌肉瘫痪；</w:t>
      </w:r>
    </w:p>
    <w:p>
      <w:pPr>
        <w:pStyle w:val="16"/>
        <w:rPr>
          <w:rFonts w:hint="eastAsia"/>
        </w:rPr>
      </w:pPr>
      <w:r>
        <w:rPr>
          <w:rFonts w:hint="eastAsia"/>
        </w:rPr>
        <w:t>部分面瘫  是指面神经5个分支中有1个分支支配的肌肉瘫痪。</w:t>
      </w:r>
    </w:p>
    <w:p>
      <w:pPr>
        <w:pStyle w:val="15"/>
        <w:wordWrap/>
        <w:spacing w:before="120" w:beforeLines="50" w:after="120" w:afterLines="50" w:line="320" w:lineRule="exact"/>
        <w:ind w:left="0"/>
        <w:rPr>
          <w:rFonts w:hint="eastAsia"/>
        </w:rPr>
      </w:pPr>
      <w:r>
        <w:rPr>
          <w:rFonts w:hint="eastAsia"/>
        </w:rPr>
        <w:t>视力损害分级</w:t>
      </w:r>
    </w:p>
    <w:p>
      <w:pPr>
        <w:pStyle w:val="10"/>
        <w:rPr>
          <w:rFonts w:hint="eastAsia"/>
        </w:rPr>
      </w:pPr>
      <w:r>
        <w:rPr>
          <w:rFonts w:hint="eastAsia"/>
        </w:rPr>
        <w:t>盲及视力损害分级标准见表B-1。</w:t>
      </w:r>
    </w:p>
    <w:p>
      <w:pPr>
        <w:pStyle w:val="19"/>
        <w:tabs>
          <w:tab w:val="clear" w:pos="4201"/>
          <w:tab w:val="clear" w:pos="9298"/>
        </w:tabs>
        <w:rPr>
          <w:rFonts w:hint="eastAsia"/>
        </w:rPr>
      </w:pPr>
      <w:r>
        <w:rPr>
          <w:rFonts w:hint="eastAsia"/>
        </w:rPr>
        <w:t>表B-1 盲及视力损害分级标准</w:t>
      </w:r>
    </w:p>
    <w:tbl>
      <w:tblPr>
        <w:tblStyle w:val="8"/>
        <w:tblW w:w="7323"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48"/>
        <w:gridCol w:w="1656"/>
        <w:gridCol w:w="2119"/>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548" w:type="dxa"/>
            <w:tcBorders>
              <w:top w:val="single" w:color="auto" w:sz="4" w:space="0"/>
              <w:left w:val="nil"/>
              <w:bottom w:val="single" w:color="auto" w:sz="4" w:space="0"/>
              <w:right w:val="nil"/>
            </w:tcBorders>
            <w:vAlign w:val="top"/>
          </w:tcPr>
          <w:p>
            <w:pPr>
              <w:spacing w:line="240" w:lineRule="exact"/>
              <w:jc w:val="center"/>
              <w:rPr>
                <w:rFonts w:hint="eastAsia" w:ascii="宋体" w:hAnsi="宋体"/>
                <w:sz w:val="18"/>
                <w:szCs w:val="18"/>
              </w:rPr>
            </w:pPr>
            <w:r>
              <w:rPr>
                <w:rFonts w:hint="eastAsia" w:ascii="宋体" w:hAnsi="宋体"/>
                <w:sz w:val="18"/>
                <w:szCs w:val="18"/>
              </w:rPr>
              <w:t>分类</w:t>
            </w:r>
          </w:p>
        </w:tc>
        <w:tc>
          <w:tcPr>
            <w:tcW w:w="1656" w:type="dxa"/>
            <w:tcBorders>
              <w:top w:val="single" w:color="auto" w:sz="4" w:space="0"/>
              <w:left w:val="nil"/>
              <w:bottom w:val="single" w:color="auto" w:sz="4" w:space="0"/>
              <w:right w:val="nil"/>
            </w:tcBorders>
            <w:vAlign w:val="top"/>
          </w:tcPr>
          <w:p>
            <w:pPr>
              <w:spacing w:line="240" w:lineRule="exact"/>
              <w:jc w:val="center"/>
              <w:rPr>
                <w:rFonts w:hint="eastAsia" w:ascii="宋体" w:hAnsi="宋体"/>
                <w:sz w:val="18"/>
                <w:szCs w:val="18"/>
              </w:rPr>
            </w:pPr>
            <w:r>
              <w:rPr>
                <w:rFonts w:hint="eastAsia" w:ascii="宋体" w:hAnsi="宋体"/>
                <w:sz w:val="18"/>
                <w:szCs w:val="18"/>
              </w:rPr>
              <w:t>远视力低于</w:t>
            </w:r>
          </w:p>
        </w:tc>
        <w:tc>
          <w:tcPr>
            <w:tcW w:w="2119" w:type="dxa"/>
            <w:tcBorders>
              <w:top w:val="single" w:color="auto" w:sz="4" w:space="0"/>
              <w:left w:val="nil"/>
              <w:bottom w:val="single" w:color="auto" w:sz="4" w:space="0"/>
              <w:right w:val="nil"/>
            </w:tcBorders>
            <w:vAlign w:val="top"/>
          </w:tcPr>
          <w:p>
            <w:pPr>
              <w:spacing w:line="240" w:lineRule="exact"/>
              <w:jc w:val="center"/>
              <w:rPr>
                <w:rFonts w:hint="eastAsia" w:ascii="宋体" w:hAnsi="宋体"/>
                <w:sz w:val="18"/>
                <w:szCs w:val="18"/>
              </w:rPr>
            </w:pPr>
            <w:r>
              <w:rPr>
                <w:rFonts w:hint="eastAsia" w:ascii="宋体" w:hAnsi="宋体"/>
                <w:sz w:val="18"/>
                <w:szCs w:val="18"/>
              </w:rPr>
              <w:t>远视力等于或优于</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548" w:type="dxa"/>
            <w:tcBorders>
              <w:top w:val="single" w:color="auto" w:sz="4" w:space="0"/>
              <w:left w:val="nil"/>
              <w:bottom w:val="nil"/>
              <w:right w:val="nil"/>
            </w:tcBorders>
            <w:vAlign w:val="top"/>
          </w:tcPr>
          <w:p>
            <w:pPr>
              <w:spacing w:line="240" w:lineRule="exact"/>
              <w:jc w:val="center"/>
              <w:rPr>
                <w:rFonts w:hint="eastAsia" w:ascii="宋体" w:hAnsi="宋体"/>
                <w:sz w:val="18"/>
                <w:szCs w:val="18"/>
              </w:rPr>
            </w:pPr>
            <w:r>
              <w:rPr>
                <w:rFonts w:hint="eastAsia" w:ascii="宋体" w:hAnsi="宋体"/>
                <w:sz w:val="18"/>
                <w:szCs w:val="18"/>
              </w:rPr>
              <w:t>轻度或无视力损害</w:t>
            </w:r>
          </w:p>
        </w:tc>
        <w:tc>
          <w:tcPr>
            <w:tcW w:w="1656" w:type="dxa"/>
            <w:tcBorders>
              <w:top w:val="single" w:color="auto" w:sz="4" w:space="0"/>
              <w:left w:val="nil"/>
              <w:bottom w:val="nil"/>
              <w:right w:val="nil"/>
            </w:tcBorders>
            <w:vAlign w:val="top"/>
          </w:tcPr>
          <w:p>
            <w:pPr>
              <w:spacing w:line="240" w:lineRule="exact"/>
              <w:jc w:val="center"/>
              <w:rPr>
                <w:rFonts w:hint="eastAsia" w:ascii="宋体" w:hAnsi="宋体"/>
                <w:sz w:val="18"/>
                <w:szCs w:val="18"/>
              </w:rPr>
            </w:pPr>
          </w:p>
        </w:tc>
        <w:tc>
          <w:tcPr>
            <w:tcW w:w="2119" w:type="dxa"/>
            <w:tcBorders>
              <w:top w:val="single" w:color="auto" w:sz="4" w:space="0"/>
              <w:left w:val="nil"/>
              <w:bottom w:val="nil"/>
              <w:right w:val="nil"/>
            </w:tcBorders>
            <w:vAlign w:val="top"/>
          </w:tcPr>
          <w:p>
            <w:pPr>
              <w:spacing w:line="240" w:lineRule="exact"/>
              <w:jc w:val="center"/>
              <w:rPr>
                <w:rFonts w:hint="eastAsia" w:ascii="宋体" w:hAnsi="宋体"/>
                <w:sz w:val="18"/>
                <w:szCs w:val="18"/>
              </w:rPr>
            </w:pPr>
            <w:r>
              <w:rPr>
                <w:rFonts w:hint="eastAsia" w:ascii="宋体" w:hAnsi="宋体"/>
                <w:sz w:val="18"/>
                <w:szCs w:val="18"/>
              </w:rPr>
              <w:t>0.3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548" w:type="dxa"/>
            <w:tcBorders>
              <w:top w:val="nil"/>
              <w:left w:val="nil"/>
              <w:bottom w:val="nil"/>
              <w:right w:val="nil"/>
            </w:tcBorders>
            <w:vAlign w:val="top"/>
          </w:tcPr>
          <w:p>
            <w:pPr>
              <w:spacing w:before="120" w:beforeLines="50" w:line="240" w:lineRule="exact"/>
              <w:jc w:val="center"/>
              <w:rPr>
                <w:rFonts w:hint="eastAsia" w:ascii="宋体" w:hAnsi="宋体"/>
                <w:sz w:val="18"/>
                <w:szCs w:val="18"/>
              </w:rPr>
            </w:pPr>
            <w:r>
              <w:rPr>
                <w:rFonts w:hint="eastAsia" w:ascii="宋体" w:hAnsi="宋体"/>
                <w:sz w:val="18"/>
                <w:szCs w:val="18"/>
              </w:rPr>
              <w:t>中度视力损害（视力损害1级）</w:t>
            </w:r>
          </w:p>
        </w:tc>
        <w:tc>
          <w:tcPr>
            <w:tcW w:w="1656" w:type="dxa"/>
            <w:tcBorders>
              <w:top w:val="nil"/>
              <w:left w:val="nil"/>
              <w:bottom w:val="nil"/>
              <w:right w:val="nil"/>
            </w:tcBorders>
            <w:vAlign w:val="top"/>
          </w:tcPr>
          <w:p>
            <w:pPr>
              <w:spacing w:before="120" w:beforeLines="50" w:line="240" w:lineRule="exact"/>
              <w:jc w:val="center"/>
              <w:rPr>
                <w:rFonts w:hint="eastAsia" w:ascii="宋体" w:hAnsi="宋体"/>
                <w:sz w:val="18"/>
                <w:szCs w:val="18"/>
              </w:rPr>
            </w:pPr>
            <w:r>
              <w:rPr>
                <w:rFonts w:hint="eastAsia" w:ascii="宋体" w:hAnsi="宋体"/>
                <w:sz w:val="18"/>
                <w:szCs w:val="18"/>
              </w:rPr>
              <w:t>0.3</w:t>
            </w:r>
          </w:p>
        </w:tc>
        <w:tc>
          <w:tcPr>
            <w:tcW w:w="2119" w:type="dxa"/>
            <w:tcBorders>
              <w:top w:val="nil"/>
              <w:left w:val="nil"/>
              <w:bottom w:val="nil"/>
              <w:right w:val="nil"/>
            </w:tcBorders>
            <w:vAlign w:val="top"/>
          </w:tcPr>
          <w:p>
            <w:pPr>
              <w:spacing w:before="120" w:beforeLines="50" w:line="240" w:lineRule="exact"/>
              <w:jc w:val="center"/>
              <w:rPr>
                <w:rFonts w:hint="eastAsia" w:ascii="宋体" w:hAnsi="宋体"/>
                <w:sz w:val="18"/>
                <w:szCs w:val="18"/>
              </w:rPr>
            </w:pPr>
            <w:r>
              <w:rPr>
                <w:rFonts w:hint="eastAsia" w:ascii="宋体" w:hAnsi="宋体"/>
                <w:sz w:val="18"/>
                <w:szCs w:val="18"/>
              </w:rPr>
              <w:t>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PrEx>
        <w:trPr>
          <w:jc w:val="center"/>
        </w:trPr>
        <w:tc>
          <w:tcPr>
            <w:tcW w:w="3548" w:type="dxa"/>
            <w:tcBorders>
              <w:top w:val="nil"/>
              <w:left w:val="nil"/>
              <w:bottom w:val="nil"/>
              <w:right w:val="nil"/>
            </w:tcBorders>
            <w:vAlign w:val="top"/>
          </w:tcPr>
          <w:p>
            <w:pPr>
              <w:spacing w:before="120" w:beforeLines="50" w:line="240" w:lineRule="exact"/>
              <w:jc w:val="center"/>
              <w:rPr>
                <w:rFonts w:hint="eastAsia" w:ascii="宋体" w:hAnsi="宋体"/>
                <w:sz w:val="18"/>
                <w:szCs w:val="18"/>
              </w:rPr>
            </w:pPr>
            <w:r>
              <w:rPr>
                <w:rFonts w:hint="eastAsia" w:ascii="宋体" w:hAnsi="宋体"/>
                <w:sz w:val="18"/>
                <w:szCs w:val="18"/>
              </w:rPr>
              <w:t>重度视力损害（视力损害2级）</w:t>
            </w:r>
          </w:p>
        </w:tc>
        <w:tc>
          <w:tcPr>
            <w:tcW w:w="1656" w:type="dxa"/>
            <w:tcBorders>
              <w:top w:val="nil"/>
              <w:left w:val="nil"/>
              <w:bottom w:val="nil"/>
              <w:right w:val="nil"/>
            </w:tcBorders>
            <w:vAlign w:val="top"/>
          </w:tcPr>
          <w:p>
            <w:pPr>
              <w:spacing w:before="120" w:beforeLines="50" w:line="240" w:lineRule="exact"/>
              <w:jc w:val="center"/>
              <w:rPr>
                <w:rFonts w:hint="eastAsia" w:ascii="宋体" w:hAnsi="宋体"/>
                <w:sz w:val="18"/>
                <w:szCs w:val="18"/>
              </w:rPr>
            </w:pPr>
            <w:r>
              <w:rPr>
                <w:rFonts w:hint="eastAsia" w:ascii="宋体" w:hAnsi="宋体"/>
                <w:sz w:val="18"/>
                <w:szCs w:val="18"/>
              </w:rPr>
              <w:t>0.1</w:t>
            </w:r>
          </w:p>
        </w:tc>
        <w:tc>
          <w:tcPr>
            <w:tcW w:w="2119" w:type="dxa"/>
            <w:tcBorders>
              <w:top w:val="nil"/>
              <w:left w:val="nil"/>
              <w:bottom w:val="nil"/>
              <w:right w:val="nil"/>
            </w:tcBorders>
            <w:vAlign w:val="top"/>
          </w:tcPr>
          <w:p>
            <w:pPr>
              <w:spacing w:before="120" w:beforeLines="50" w:line="240" w:lineRule="exact"/>
              <w:jc w:val="center"/>
              <w:rPr>
                <w:rFonts w:hint="eastAsia" w:ascii="宋体" w:hAnsi="宋体"/>
                <w:sz w:val="18"/>
                <w:szCs w:val="18"/>
              </w:rPr>
            </w:pPr>
            <w:r>
              <w:rPr>
                <w:rFonts w:hint="eastAsia" w:ascii="宋体" w:hAnsi="宋体"/>
                <w:sz w:val="18"/>
                <w:szCs w:val="18"/>
              </w:rPr>
              <w:t>0.05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548" w:type="dxa"/>
            <w:tcBorders>
              <w:top w:val="nil"/>
              <w:left w:val="nil"/>
              <w:bottom w:val="nil"/>
              <w:right w:val="nil"/>
            </w:tcBorders>
            <w:vAlign w:val="top"/>
          </w:tcPr>
          <w:p>
            <w:pPr>
              <w:spacing w:before="120" w:beforeLines="50" w:line="240" w:lineRule="exact"/>
              <w:jc w:val="center"/>
              <w:rPr>
                <w:rFonts w:hint="eastAsia" w:ascii="宋体" w:hAnsi="宋体"/>
                <w:sz w:val="18"/>
                <w:szCs w:val="18"/>
              </w:rPr>
            </w:pPr>
            <w:r>
              <w:rPr>
                <w:rFonts w:hint="eastAsia" w:ascii="宋体" w:hAnsi="宋体"/>
                <w:sz w:val="18"/>
                <w:szCs w:val="18"/>
              </w:rPr>
              <w:t>盲（盲目3级）</w:t>
            </w:r>
          </w:p>
        </w:tc>
        <w:tc>
          <w:tcPr>
            <w:tcW w:w="1656" w:type="dxa"/>
            <w:tcBorders>
              <w:top w:val="nil"/>
              <w:left w:val="nil"/>
              <w:bottom w:val="nil"/>
              <w:right w:val="nil"/>
            </w:tcBorders>
            <w:vAlign w:val="top"/>
          </w:tcPr>
          <w:p>
            <w:pPr>
              <w:spacing w:before="120" w:beforeLines="50" w:line="240" w:lineRule="exact"/>
              <w:jc w:val="center"/>
              <w:rPr>
                <w:rFonts w:hint="eastAsia" w:ascii="宋体" w:hAnsi="宋体"/>
                <w:sz w:val="18"/>
                <w:szCs w:val="18"/>
              </w:rPr>
            </w:pPr>
            <w:r>
              <w:rPr>
                <w:rFonts w:hint="eastAsia" w:ascii="宋体" w:hAnsi="宋体"/>
                <w:sz w:val="18"/>
                <w:szCs w:val="18"/>
              </w:rPr>
              <w:t>0.05</w:t>
            </w:r>
          </w:p>
        </w:tc>
        <w:tc>
          <w:tcPr>
            <w:tcW w:w="2119" w:type="dxa"/>
            <w:tcBorders>
              <w:top w:val="nil"/>
              <w:left w:val="nil"/>
              <w:bottom w:val="nil"/>
              <w:right w:val="nil"/>
            </w:tcBorders>
            <w:vAlign w:val="top"/>
          </w:tcPr>
          <w:p>
            <w:pPr>
              <w:spacing w:before="120" w:beforeLines="50" w:line="240" w:lineRule="exact"/>
              <w:jc w:val="center"/>
              <w:rPr>
                <w:rFonts w:hint="eastAsia" w:ascii="宋体" w:hAnsi="宋体"/>
                <w:sz w:val="18"/>
                <w:szCs w:val="18"/>
              </w:rPr>
            </w:pPr>
            <w:r>
              <w:rPr>
                <w:rFonts w:hint="eastAsia" w:ascii="宋体" w:hAnsi="宋体"/>
                <w:sz w:val="18"/>
                <w:szCs w:val="18"/>
              </w:rPr>
              <w:t>0.02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548" w:type="dxa"/>
            <w:tcBorders>
              <w:top w:val="nil"/>
              <w:left w:val="nil"/>
              <w:bottom w:val="nil"/>
              <w:right w:val="nil"/>
            </w:tcBorders>
            <w:vAlign w:val="top"/>
          </w:tcPr>
          <w:p>
            <w:pPr>
              <w:spacing w:before="120" w:beforeLines="50" w:line="240" w:lineRule="exact"/>
              <w:jc w:val="center"/>
              <w:rPr>
                <w:rFonts w:hint="eastAsia" w:ascii="宋体" w:hAnsi="宋体"/>
                <w:sz w:val="18"/>
                <w:szCs w:val="18"/>
              </w:rPr>
            </w:pPr>
            <w:r>
              <w:rPr>
                <w:rFonts w:hint="eastAsia" w:ascii="宋体" w:hAnsi="宋体"/>
                <w:sz w:val="18"/>
                <w:szCs w:val="18"/>
              </w:rPr>
              <w:t>盲（盲目4级）</w:t>
            </w:r>
          </w:p>
        </w:tc>
        <w:tc>
          <w:tcPr>
            <w:tcW w:w="1656" w:type="dxa"/>
            <w:tcBorders>
              <w:top w:val="nil"/>
              <w:left w:val="nil"/>
              <w:bottom w:val="nil"/>
              <w:right w:val="nil"/>
            </w:tcBorders>
            <w:vAlign w:val="top"/>
          </w:tcPr>
          <w:p>
            <w:pPr>
              <w:spacing w:before="120" w:beforeLines="50" w:line="240" w:lineRule="exact"/>
              <w:jc w:val="center"/>
              <w:rPr>
                <w:rFonts w:hint="eastAsia" w:ascii="宋体" w:hAnsi="宋体"/>
                <w:sz w:val="18"/>
                <w:szCs w:val="18"/>
              </w:rPr>
            </w:pPr>
            <w:r>
              <w:rPr>
                <w:rFonts w:hint="eastAsia" w:ascii="宋体" w:hAnsi="宋体"/>
                <w:sz w:val="18"/>
                <w:szCs w:val="18"/>
              </w:rPr>
              <w:t>0.02</w:t>
            </w:r>
          </w:p>
        </w:tc>
        <w:tc>
          <w:tcPr>
            <w:tcW w:w="2119" w:type="dxa"/>
            <w:tcBorders>
              <w:top w:val="nil"/>
              <w:left w:val="nil"/>
              <w:bottom w:val="nil"/>
              <w:right w:val="nil"/>
            </w:tcBorders>
            <w:vAlign w:val="top"/>
          </w:tcPr>
          <w:p>
            <w:pPr>
              <w:spacing w:before="120" w:beforeLines="50" w:line="240" w:lineRule="exact"/>
              <w:jc w:val="center"/>
              <w:rPr>
                <w:rFonts w:hint="eastAsia" w:ascii="宋体" w:hAnsi="宋体"/>
                <w:sz w:val="18"/>
                <w:szCs w:val="18"/>
              </w:rPr>
            </w:pPr>
            <w:r>
              <w:rPr>
                <w:rFonts w:hint="eastAsia" w:ascii="宋体" w:hAnsi="宋体"/>
                <w:sz w:val="18"/>
                <w:szCs w:val="18"/>
              </w:rPr>
              <w:t>光感</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548" w:type="dxa"/>
            <w:tcBorders>
              <w:top w:val="nil"/>
              <w:left w:val="nil"/>
              <w:bottom w:val="single" w:color="auto" w:sz="4" w:space="0"/>
              <w:right w:val="nil"/>
            </w:tcBorders>
            <w:vAlign w:val="top"/>
          </w:tcPr>
          <w:p>
            <w:pPr>
              <w:spacing w:before="120" w:beforeLines="50" w:line="240" w:lineRule="exact"/>
              <w:jc w:val="center"/>
              <w:rPr>
                <w:rFonts w:hint="eastAsia" w:ascii="宋体" w:hAnsi="宋体"/>
                <w:sz w:val="18"/>
                <w:szCs w:val="18"/>
              </w:rPr>
            </w:pPr>
            <w:r>
              <w:rPr>
                <w:rFonts w:hint="eastAsia" w:ascii="宋体" w:hAnsi="宋体"/>
                <w:sz w:val="18"/>
                <w:szCs w:val="18"/>
              </w:rPr>
              <w:t>盲（盲目5级）</w:t>
            </w:r>
          </w:p>
        </w:tc>
        <w:tc>
          <w:tcPr>
            <w:tcW w:w="3775" w:type="dxa"/>
            <w:gridSpan w:val="2"/>
            <w:tcBorders>
              <w:top w:val="nil"/>
              <w:left w:val="nil"/>
              <w:bottom w:val="single" w:color="auto" w:sz="4" w:space="0"/>
              <w:right w:val="nil"/>
            </w:tcBorders>
            <w:vAlign w:val="top"/>
          </w:tcPr>
          <w:p>
            <w:pPr>
              <w:spacing w:before="120" w:beforeLines="50" w:line="240" w:lineRule="exact"/>
              <w:jc w:val="center"/>
              <w:rPr>
                <w:rFonts w:hint="eastAsia" w:ascii="宋体" w:hAnsi="宋体"/>
                <w:sz w:val="18"/>
                <w:szCs w:val="18"/>
              </w:rPr>
            </w:pPr>
            <w:r>
              <w:rPr>
                <w:rFonts w:hint="eastAsia" w:ascii="宋体" w:hAnsi="宋体"/>
                <w:sz w:val="18"/>
                <w:szCs w:val="18"/>
              </w:rPr>
              <w:t>无光感</w:t>
            </w:r>
          </w:p>
        </w:tc>
      </w:tr>
    </w:tbl>
    <w:p>
      <w:pPr>
        <w:pStyle w:val="15"/>
        <w:wordWrap/>
        <w:spacing w:before="120" w:beforeLines="50" w:after="120" w:afterLines="50" w:line="320" w:lineRule="exact"/>
        <w:ind w:left="0"/>
        <w:rPr>
          <w:rFonts w:hint="eastAsia"/>
        </w:rPr>
      </w:pPr>
      <w:r>
        <w:rPr>
          <w:rFonts w:hint="eastAsia"/>
        </w:rPr>
        <w:t>颏颈粘连分度</w:t>
      </w:r>
    </w:p>
    <w:p>
      <w:pPr>
        <w:pStyle w:val="16"/>
        <w:numPr>
          <w:ilvl w:val="0"/>
          <w:numId w:val="97"/>
        </w:numPr>
        <w:tabs>
          <w:tab w:val="left" w:pos="839"/>
        </w:tabs>
        <w:rPr>
          <w:rFonts w:hint="eastAsia"/>
        </w:rPr>
      </w:pPr>
      <w:r>
        <w:rPr>
          <w:rFonts w:hint="eastAsia"/>
        </w:rPr>
        <w:t>轻度  单纯的颈部瘢痕或者颈胸瘢痕。瘢痕位于颌颈角平面以下的颈胸部，颈部活动基本不受限制，饮食、吞咽等均无影响；</w:t>
      </w:r>
    </w:p>
    <w:p>
      <w:pPr>
        <w:pStyle w:val="16"/>
        <w:rPr>
          <w:rFonts w:hint="eastAsia"/>
        </w:rPr>
      </w:pPr>
      <w:r>
        <w:rPr>
          <w:rFonts w:hint="eastAsia"/>
        </w:rPr>
        <w:t>中度  颏颈瘢痕粘连或者颏颈胸瘢痕粘连。颈部后仰及旋转受到限制，饮食、吞咽有所影响，不流涎，下唇前庭沟并不消失，能闭口；</w:t>
      </w:r>
    </w:p>
    <w:p>
      <w:pPr>
        <w:pStyle w:val="16"/>
        <w:rPr>
          <w:rFonts w:hint="eastAsia"/>
        </w:rPr>
      </w:pPr>
      <w:r>
        <w:rPr>
          <w:rFonts w:hint="eastAsia"/>
        </w:rPr>
        <w:t>重度  唇颏颈瘢痕粘连。自下唇至颈前均为挛缩瘢痕，下唇、颏部和颈前区均粘连在一起，颈部处于强迫低头姿势。</w:t>
      </w:r>
    </w:p>
    <w:p>
      <w:pPr>
        <w:pStyle w:val="15"/>
        <w:wordWrap/>
        <w:spacing w:before="120" w:beforeLines="50" w:after="120" w:afterLines="50" w:line="320" w:lineRule="exact"/>
        <w:ind w:left="0"/>
        <w:rPr>
          <w:rFonts w:hint="eastAsia"/>
        </w:rPr>
      </w:pPr>
      <w:r>
        <w:rPr>
          <w:rFonts w:hint="eastAsia"/>
        </w:rPr>
        <w:t>甲状腺功能低下分度</w:t>
      </w:r>
    </w:p>
    <w:p>
      <w:pPr>
        <w:pStyle w:val="16"/>
        <w:numPr>
          <w:ilvl w:val="0"/>
          <w:numId w:val="98"/>
        </w:numPr>
        <w:tabs>
          <w:tab w:val="left" w:pos="839"/>
        </w:tabs>
        <w:rPr>
          <w:rFonts w:hint="eastAsia" w:hAnsi="宋体" w:cs="宋体"/>
        </w:rPr>
      </w:pPr>
      <w:r>
        <w:rPr>
          <w:rFonts w:hint="eastAsia" w:hAnsi="宋体" w:cs="宋体"/>
        </w:rPr>
        <w:t>重度  临床症状严重，Ｔ3、Ｔ4或者FT3、FT4低于正常值，TSH＞50μU/L；</w:t>
      </w:r>
    </w:p>
    <w:p>
      <w:pPr>
        <w:pStyle w:val="16"/>
        <w:rPr>
          <w:rFonts w:hint="eastAsia" w:hAnsi="宋体" w:cs="宋体"/>
        </w:rPr>
      </w:pPr>
      <w:r>
        <w:rPr>
          <w:rFonts w:hint="eastAsia" w:hAnsi="宋体" w:cs="宋体"/>
        </w:rPr>
        <w:t>中度  临床症状较重，Ｔ3、Ｔ4或者FT3、FT4正常，TSH＞50μU/L；</w:t>
      </w:r>
    </w:p>
    <w:p>
      <w:pPr>
        <w:pStyle w:val="16"/>
        <w:rPr>
          <w:rFonts w:hint="eastAsia" w:hAnsi="宋体" w:cs="宋体"/>
        </w:rPr>
      </w:pPr>
      <w:r>
        <w:rPr>
          <w:rFonts w:hint="eastAsia" w:hAnsi="宋体" w:cs="宋体"/>
        </w:rPr>
        <w:t>轻度  临床症状较轻，Ｔ3、Ｔ4或者FT3、FT4正常，TSH轻度增高但＜50μU/L。</w:t>
      </w:r>
    </w:p>
    <w:p>
      <w:pPr>
        <w:pStyle w:val="15"/>
        <w:wordWrap/>
        <w:spacing w:before="120" w:beforeLines="50" w:after="120" w:afterLines="50" w:line="320" w:lineRule="exact"/>
        <w:ind w:left="0"/>
        <w:rPr>
          <w:rFonts w:hint="eastAsia"/>
        </w:rPr>
      </w:pPr>
      <w:r>
        <w:rPr>
          <w:rFonts w:hint="eastAsia"/>
        </w:rPr>
        <w:t>甲状旁腺功能低下分度</w:t>
      </w:r>
    </w:p>
    <w:p>
      <w:pPr>
        <w:pStyle w:val="16"/>
        <w:numPr>
          <w:ilvl w:val="0"/>
          <w:numId w:val="99"/>
        </w:numPr>
        <w:tabs>
          <w:tab w:val="left" w:pos="839"/>
        </w:tabs>
        <w:rPr>
          <w:rFonts w:hint="eastAsia"/>
        </w:rPr>
      </w:pPr>
      <w:r>
        <w:rPr>
          <w:rFonts w:hint="eastAsia"/>
        </w:rPr>
        <w:t xml:space="preserve">重度  </w:t>
      </w:r>
      <w:r>
        <w:t>空腹血钙</w:t>
      </w:r>
      <w:r>
        <w:rPr>
          <w:rFonts w:hint="eastAsia"/>
        </w:rPr>
        <w:t>质量浓度</w:t>
      </w:r>
      <w:r>
        <w:rPr>
          <w:rFonts w:hint="eastAsia" w:hAnsi="宋体"/>
        </w:rPr>
        <w:t>＜</w:t>
      </w:r>
      <w:r>
        <w:t>6mg</w:t>
      </w:r>
      <w:r>
        <w:rPr>
          <w:rFonts w:hint="eastAsia"/>
        </w:rPr>
        <w:t>/dL；</w:t>
      </w:r>
    </w:p>
    <w:p>
      <w:pPr>
        <w:pStyle w:val="16"/>
        <w:rPr>
          <w:rFonts w:hint="eastAsia"/>
        </w:rPr>
      </w:pPr>
      <w:r>
        <w:t>中度</w:t>
      </w:r>
      <w:r>
        <w:rPr>
          <w:rFonts w:hint="eastAsia"/>
        </w:rPr>
        <w:t xml:space="preserve">  </w:t>
      </w:r>
      <w:r>
        <w:t>空腹血钙</w:t>
      </w:r>
      <w:r>
        <w:rPr>
          <w:rFonts w:hint="eastAsia"/>
        </w:rPr>
        <w:t>质量浓度</w:t>
      </w:r>
      <w:r>
        <w:t>6～7mg</w:t>
      </w:r>
      <w:r>
        <w:rPr>
          <w:rFonts w:hint="eastAsia"/>
        </w:rPr>
        <w:t>/dL；</w:t>
      </w:r>
    </w:p>
    <w:p>
      <w:pPr>
        <w:pStyle w:val="16"/>
        <w:rPr>
          <w:rFonts w:hint="eastAsia"/>
        </w:rPr>
      </w:pPr>
      <w:r>
        <w:t>轻度</w:t>
      </w:r>
      <w:r>
        <w:rPr>
          <w:rFonts w:hint="eastAsia"/>
        </w:rPr>
        <w:t xml:space="preserve">  </w:t>
      </w:r>
      <w:r>
        <w:t>空腹血钙</w:t>
      </w:r>
      <w:r>
        <w:rPr>
          <w:rFonts w:hint="eastAsia"/>
        </w:rPr>
        <w:t>质量浓度</w:t>
      </w:r>
      <w:r>
        <w:t>7.1～8mg</w:t>
      </w:r>
      <w:r>
        <w:rPr>
          <w:rFonts w:hint="eastAsia"/>
        </w:rPr>
        <w:t>/dL。</w:t>
      </w:r>
    </w:p>
    <w:p>
      <w:pPr>
        <w:pStyle w:val="10"/>
        <w:ind w:firstLine="360"/>
        <w:rPr>
          <w:rFonts w:hint="eastAsia" w:ascii="华文楷体" w:hAnsi="华文楷体" w:eastAsia="华文楷体"/>
          <w:sz w:val="18"/>
          <w:szCs w:val="18"/>
        </w:rPr>
      </w:pPr>
      <w:r>
        <w:rPr>
          <w:rFonts w:hint="eastAsia" w:ascii="华文楷体" w:hAnsi="华文楷体" w:eastAsia="华文楷体"/>
          <w:sz w:val="18"/>
          <w:szCs w:val="18"/>
        </w:rPr>
        <w:t>注：以上分级均需结合临床症状，必要时参考甲状旁腺激素水平综合判定。</w:t>
      </w:r>
    </w:p>
    <w:p>
      <w:pPr>
        <w:pStyle w:val="15"/>
        <w:wordWrap/>
        <w:spacing w:before="120" w:beforeLines="50" w:after="120" w:afterLines="50" w:line="320" w:lineRule="exact"/>
        <w:ind w:left="0"/>
        <w:rPr>
          <w:rFonts w:hint="eastAsia"/>
        </w:rPr>
      </w:pPr>
      <w:r>
        <w:rPr>
          <w:rFonts w:hint="eastAsia"/>
        </w:rPr>
        <w:t>发声功能障碍分度</w:t>
      </w:r>
    </w:p>
    <w:p>
      <w:pPr>
        <w:pStyle w:val="16"/>
        <w:numPr>
          <w:ilvl w:val="0"/>
          <w:numId w:val="100"/>
        </w:numPr>
        <w:tabs>
          <w:tab w:val="left" w:pos="839"/>
        </w:tabs>
        <w:rPr>
          <w:rFonts w:hint="eastAsia"/>
        </w:rPr>
      </w:pPr>
      <w:r>
        <w:rPr>
          <w:rFonts w:hint="eastAsia"/>
        </w:rPr>
        <w:t>重度  声哑、不能出声；</w:t>
      </w:r>
    </w:p>
    <w:p>
      <w:pPr>
        <w:pStyle w:val="16"/>
        <w:rPr>
          <w:rFonts w:hint="eastAsia"/>
        </w:rPr>
      </w:pPr>
      <w:r>
        <w:rPr>
          <w:rFonts w:hint="eastAsia"/>
        </w:rPr>
        <w:t>轻度  发音过弱、声嘶、低调、粗糙、带鼻音。</w:t>
      </w:r>
    </w:p>
    <w:p>
      <w:pPr>
        <w:pStyle w:val="15"/>
        <w:wordWrap/>
        <w:spacing w:before="120" w:beforeLines="50" w:after="120" w:afterLines="50" w:line="320" w:lineRule="exact"/>
        <w:ind w:left="0"/>
        <w:rPr>
          <w:rFonts w:hint="eastAsia"/>
        </w:rPr>
      </w:pPr>
      <w:r>
        <w:rPr>
          <w:rFonts w:hint="eastAsia"/>
        </w:rPr>
        <w:t>构音功能障碍分度</w:t>
      </w:r>
    </w:p>
    <w:p>
      <w:pPr>
        <w:pStyle w:val="16"/>
        <w:numPr>
          <w:ilvl w:val="0"/>
          <w:numId w:val="101"/>
        </w:numPr>
        <w:tabs>
          <w:tab w:val="left" w:pos="839"/>
        </w:tabs>
        <w:rPr>
          <w:rFonts w:hint="eastAsia"/>
        </w:rPr>
      </w:pPr>
      <w:r>
        <w:rPr>
          <w:rFonts w:hint="eastAsia"/>
        </w:rPr>
        <w:t>重度  音不分明，语不成句，难以听懂，甚至完全不能说话；</w:t>
      </w:r>
    </w:p>
    <w:p>
      <w:pPr>
        <w:pStyle w:val="16"/>
        <w:rPr>
          <w:rFonts w:hint="eastAsia"/>
        </w:rPr>
      </w:pPr>
      <w:r>
        <w:rPr>
          <w:rFonts w:hint="eastAsia"/>
        </w:rPr>
        <w:t>轻度  发音不准，吐字不清，语调速度、节律等异常，以及鼻音过重等。</w:t>
      </w:r>
    </w:p>
    <w:p>
      <w:pPr>
        <w:pStyle w:val="15"/>
        <w:wordWrap/>
        <w:spacing w:before="120" w:beforeLines="50" w:after="120" w:afterLines="50" w:line="320" w:lineRule="exact"/>
        <w:ind w:left="0"/>
        <w:rPr>
          <w:rFonts w:hint="eastAsia"/>
        </w:rPr>
      </w:pPr>
      <w:r>
        <w:rPr>
          <w:rFonts w:hint="eastAsia"/>
        </w:rPr>
        <w:t>呼吸困难分度（见表B-2）</w:t>
      </w:r>
    </w:p>
    <w:p>
      <w:pPr>
        <w:pStyle w:val="19"/>
        <w:tabs>
          <w:tab w:val="clear" w:pos="4201"/>
          <w:tab w:val="clear" w:pos="9298"/>
        </w:tabs>
        <w:rPr>
          <w:rFonts w:hint="eastAsia"/>
        </w:rPr>
      </w:pPr>
      <w:r>
        <w:rPr>
          <w:rFonts w:hint="eastAsia"/>
        </w:rPr>
        <w:t>表B-2 呼吸困难分度</w:t>
      </w:r>
    </w:p>
    <w:tbl>
      <w:tblPr>
        <w:tblStyle w:val="8"/>
        <w:tblW w:w="847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7"/>
        <w:gridCol w:w="2552"/>
        <w:gridCol w:w="2551"/>
        <w:gridCol w:w="1418"/>
        <w:gridCol w:w="1134"/>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17" w:type="dxa"/>
            <w:tcBorders>
              <w:top w:val="single" w:color="auto" w:sz="4" w:space="0"/>
              <w:bottom w:val="single" w:color="auto" w:sz="4" w:space="0"/>
            </w:tcBorders>
            <w:vAlign w:val="center"/>
          </w:tcPr>
          <w:p>
            <w:pPr>
              <w:jc w:val="center"/>
              <w:rPr>
                <w:rFonts w:hint="eastAsia" w:ascii="宋体" w:hAnsi="宋体"/>
                <w:sz w:val="18"/>
                <w:szCs w:val="18"/>
              </w:rPr>
            </w:pPr>
            <w:r>
              <w:rPr>
                <w:rFonts w:ascii="宋体" w:hAnsi="宋体"/>
                <w:sz w:val="18"/>
                <w:szCs w:val="18"/>
              </w:rPr>
              <w:t>程度</w:t>
            </w:r>
          </w:p>
        </w:tc>
        <w:tc>
          <w:tcPr>
            <w:tcW w:w="2552" w:type="dxa"/>
            <w:tcBorders>
              <w:top w:val="single" w:color="auto" w:sz="4" w:space="0"/>
              <w:bottom w:val="single" w:color="auto" w:sz="4" w:space="0"/>
            </w:tcBorders>
            <w:vAlign w:val="center"/>
          </w:tcPr>
          <w:p>
            <w:pPr>
              <w:jc w:val="center"/>
              <w:rPr>
                <w:rFonts w:hint="eastAsia" w:ascii="宋体" w:hAnsi="宋体"/>
                <w:sz w:val="18"/>
                <w:szCs w:val="18"/>
              </w:rPr>
            </w:pPr>
            <w:r>
              <w:rPr>
                <w:rFonts w:ascii="宋体" w:hAnsi="宋体"/>
                <w:sz w:val="18"/>
                <w:szCs w:val="18"/>
              </w:rPr>
              <w:t>临床表现</w:t>
            </w:r>
          </w:p>
        </w:tc>
        <w:tc>
          <w:tcPr>
            <w:tcW w:w="2551" w:type="dxa"/>
            <w:tcBorders>
              <w:top w:val="single" w:color="auto" w:sz="4" w:space="0"/>
              <w:bottom w:val="single" w:color="auto" w:sz="4" w:space="0"/>
            </w:tcBorders>
            <w:vAlign w:val="center"/>
          </w:tcPr>
          <w:p>
            <w:pPr>
              <w:jc w:val="center"/>
              <w:rPr>
                <w:rFonts w:hint="eastAsia" w:ascii="宋体" w:hAnsi="宋体"/>
              </w:rPr>
            </w:pPr>
            <w:r>
              <w:rPr>
                <w:rFonts w:ascii="宋体" w:hAnsi="宋体"/>
                <w:sz w:val="18"/>
                <w:szCs w:val="18"/>
              </w:rPr>
              <w:t>阻塞性通气功能减退：一秒钟用力呼气量占预计值百分比</w:t>
            </w:r>
          </w:p>
        </w:tc>
        <w:tc>
          <w:tcPr>
            <w:tcW w:w="1418" w:type="dxa"/>
            <w:tcBorders>
              <w:top w:val="single" w:color="auto" w:sz="4" w:space="0"/>
              <w:bottom w:val="single" w:color="auto" w:sz="4" w:space="0"/>
            </w:tcBorders>
            <w:vAlign w:val="center"/>
          </w:tcPr>
          <w:p>
            <w:pPr>
              <w:jc w:val="center"/>
              <w:rPr>
                <w:rFonts w:hint="eastAsia" w:ascii="宋体" w:hAnsi="宋体"/>
                <w:sz w:val="18"/>
                <w:szCs w:val="18"/>
              </w:rPr>
            </w:pPr>
            <w:r>
              <w:rPr>
                <w:rFonts w:ascii="宋体" w:hAnsi="宋体"/>
                <w:sz w:val="18"/>
                <w:szCs w:val="18"/>
              </w:rPr>
              <w:t>限制性通气功能减退</w:t>
            </w:r>
            <w:r>
              <w:rPr>
                <w:rFonts w:hint="eastAsia" w:ascii="宋体" w:hAnsi="宋体"/>
                <w:sz w:val="18"/>
                <w:szCs w:val="18"/>
              </w:rPr>
              <w:t>：</w:t>
            </w:r>
            <w:r>
              <w:rPr>
                <w:rFonts w:ascii="宋体" w:hAnsi="宋体"/>
                <w:sz w:val="18"/>
                <w:szCs w:val="18"/>
              </w:rPr>
              <w:t>肺活量</w:t>
            </w:r>
          </w:p>
        </w:tc>
        <w:tc>
          <w:tcPr>
            <w:tcW w:w="1134" w:type="dxa"/>
            <w:tcBorders>
              <w:top w:val="single" w:color="auto" w:sz="4" w:space="0"/>
              <w:bottom w:val="single" w:color="auto" w:sz="4" w:space="0"/>
            </w:tcBorders>
            <w:vAlign w:val="center"/>
          </w:tcPr>
          <w:p>
            <w:pPr>
              <w:jc w:val="center"/>
              <w:rPr>
                <w:rFonts w:hint="eastAsia" w:ascii="宋体" w:hAnsi="宋体"/>
                <w:sz w:val="18"/>
                <w:szCs w:val="18"/>
              </w:rPr>
            </w:pPr>
            <w:r>
              <w:rPr>
                <w:rFonts w:ascii="宋体" w:hAnsi="宋体"/>
                <w:sz w:val="18"/>
                <w:szCs w:val="18"/>
              </w:rPr>
              <w:t>血氧分压</w:t>
            </w:r>
          </w:p>
          <w:p>
            <w:pPr>
              <w:spacing w:line="240" w:lineRule="exact"/>
              <w:jc w:val="center"/>
              <w:rPr>
                <w:rFonts w:hint="eastAsia" w:ascii="宋体" w:hAnsi="宋体"/>
                <w:sz w:val="18"/>
                <w:szCs w:val="18"/>
              </w:rPr>
            </w:pPr>
            <w:r>
              <w:rPr>
                <w:rFonts w:hint="eastAsia" w:ascii="宋体" w:hAnsi="宋体"/>
                <w:sz w:val="18"/>
                <w:szCs w:val="18"/>
              </w:rPr>
              <w:t>（mmHg）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17" w:type="dxa"/>
            <w:tcBorders>
              <w:top w:val="single" w:color="auto" w:sz="4" w:space="0"/>
            </w:tcBorders>
            <w:vAlign w:val="center"/>
          </w:tcPr>
          <w:p>
            <w:pPr>
              <w:jc w:val="center"/>
              <w:rPr>
                <w:rFonts w:hint="eastAsia" w:ascii="宋体" w:hAnsi="宋体"/>
                <w:sz w:val="18"/>
                <w:szCs w:val="18"/>
              </w:rPr>
            </w:pPr>
            <w:r>
              <w:rPr>
                <w:rFonts w:ascii="宋体" w:hAnsi="宋体"/>
                <w:sz w:val="18"/>
                <w:szCs w:val="18"/>
              </w:rPr>
              <w:t>极重度</w:t>
            </w:r>
          </w:p>
        </w:tc>
        <w:tc>
          <w:tcPr>
            <w:tcW w:w="2552" w:type="dxa"/>
            <w:tcBorders>
              <w:top w:val="single" w:color="auto" w:sz="4" w:space="0"/>
            </w:tcBorders>
            <w:vAlign w:val="center"/>
          </w:tcPr>
          <w:p>
            <w:pPr>
              <w:rPr>
                <w:rFonts w:hint="eastAsia" w:ascii="宋体" w:hAnsi="宋体"/>
                <w:sz w:val="18"/>
                <w:szCs w:val="18"/>
              </w:rPr>
            </w:pPr>
            <w:r>
              <w:rPr>
                <w:rFonts w:hint="eastAsia" w:ascii="宋体" w:hAnsi="宋体"/>
                <w:sz w:val="18"/>
                <w:szCs w:val="18"/>
              </w:rPr>
              <w:t>稍活动（如穿衣、谈话）即气</w:t>
            </w:r>
            <w:r>
              <w:rPr>
                <w:rFonts w:ascii="宋体" w:hAnsi="宋体"/>
                <w:sz w:val="18"/>
                <w:szCs w:val="18"/>
              </w:rPr>
              <w:t>短</w:t>
            </w:r>
            <w:r>
              <w:rPr>
                <w:rFonts w:hint="eastAsia" w:ascii="宋体" w:hAnsi="宋体"/>
                <w:sz w:val="18"/>
                <w:szCs w:val="18"/>
              </w:rPr>
              <w:t>。</w:t>
            </w:r>
          </w:p>
        </w:tc>
        <w:tc>
          <w:tcPr>
            <w:tcW w:w="2551" w:type="dxa"/>
            <w:tcBorders>
              <w:top w:val="single" w:color="auto" w:sz="4" w:space="0"/>
            </w:tcBorders>
            <w:vAlign w:val="center"/>
          </w:tcPr>
          <w:p>
            <w:pPr>
              <w:jc w:val="center"/>
              <w:rPr>
                <w:rFonts w:hint="eastAsia" w:ascii="宋体" w:hAnsi="宋体"/>
                <w:sz w:val="18"/>
                <w:szCs w:val="18"/>
              </w:rPr>
            </w:pPr>
            <w:r>
              <w:rPr>
                <w:rFonts w:ascii="宋体" w:hAnsi="宋体"/>
                <w:sz w:val="18"/>
                <w:szCs w:val="18"/>
              </w:rPr>
              <w:t>＜30％</w:t>
            </w:r>
          </w:p>
        </w:tc>
        <w:tc>
          <w:tcPr>
            <w:tcW w:w="1418" w:type="dxa"/>
            <w:tcBorders>
              <w:top w:val="single" w:color="auto" w:sz="4" w:space="0"/>
            </w:tcBorders>
            <w:vAlign w:val="center"/>
          </w:tcPr>
          <w:p>
            <w:pPr>
              <w:jc w:val="center"/>
              <w:rPr>
                <w:rFonts w:hint="eastAsia" w:ascii="宋体" w:hAnsi="宋体"/>
                <w:sz w:val="18"/>
                <w:szCs w:val="18"/>
              </w:rPr>
            </w:pPr>
            <w:r>
              <w:rPr>
                <w:rFonts w:ascii="宋体" w:hAnsi="宋体"/>
                <w:sz w:val="18"/>
                <w:szCs w:val="18"/>
              </w:rPr>
              <w:t>＜50％</w:t>
            </w:r>
          </w:p>
        </w:tc>
        <w:tc>
          <w:tcPr>
            <w:tcW w:w="1134" w:type="dxa"/>
            <w:tcBorders>
              <w:top w:val="single" w:color="auto" w:sz="4" w:space="0"/>
            </w:tcBorders>
            <w:vAlign w:val="center"/>
          </w:tcPr>
          <w:p>
            <w:pPr>
              <w:jc w:val="center"/>
              <w:rPr>
                <w:rFonts w:hint="eastAsia" w:ascii="宋体" w:hAnsi="宋体"/>
                <w:sz w:val="18"/>
                <w:szCs w:val="18"/>
              </w:rPr>
            </w:pPr>
            <w:r>
              <w:rPr>
                <w:rFonts w:ascii="宋体" w:hAnsi="宋体"/>
                <w:sz w:val="18"/>
                <w:szCs w:val="18"/>
              </w:rPr>
              <w:t>＜60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17" w:type="dxa"/>
            <w:vAlign w:val="center"/>
          </w:tcPr>
          <w:p>
            <w:pPr>
              <w:spacing w:before="120" w:beforeLines="50"/>
              <w:jc w:val="center"/>
              <w:rPr>
                <w:rFonts w:hint="eastAsia" w:ascii="宋体" w:hAnsi="宋体"/>
                <w:sz w:val="18"/>
                <w:szCs w:val="18"/>
              </w:rPr>
            </w:pPr>
            <w:r>
              <w:rPr>
                <w:rFonts w:ascii="宋体" w:hAnsi="宋体"/>
                <w:sz w:val="18"/>
                <w:szCs w:val="18"/>
              </w:rPr>
              <w:t>重 度</w:t>
            </w:r>
          </w:p>
        </w:tc>
        <w:tc>
          <w:tcPr>
            <w:tcW w:w="2552" w:type="dxa"/>
            <w:vAlign w:val="center"/>
          </w:tcPr>
          <w:p>
            <w:pPr>
              <w:spacing w:before="120" w:beforeLines="50"/>
              <w:rPr>
                <w:rFonts w:hint="eastAsia" w:ascii="宋体" w:hAnsi="宋体"/>
                <w:sz w:val="18"/>
                <w:szCs w:val="18"/>
              </w:rPr>
            </w:pPr>
            <w:r>
              <w:rPr>
                <w:rFonts w:hint="eastAsia" w:ascii="宋体" w:hAnsi="宋体"/>
                <w:sz w:val="18"/>
                <w:szCs w:val="18"/>
              </w:rPr>
              <w:t>平地步行100米即有气短。</w:t>
            </w:r>
          </w:p>
        </w:tc>
        <w:tc>
          <w:tcPr>
            <w:tcW w:w="2551" w:type="dxa"/>
            <w:vAlign w:val="center"/>
          </w:tcPr>
          <w:p>
            <w:pPr>
              <w:spacing w:before="120" w:beforeLines="50"/>
              <w:jc w:val="center"/>
              <w:rPr>
                <w:rFonts w:hint="eastAsia" w:ascii="宋体" w:hAnsi="宋体"/>
                <w:sz w:val="18"/>
                <w:szCs w:val="18"/>
              </w:rPr>
            </w:pPr>
            <w:r>
              <w:rPr>
                <w:rFonts w:ascii="宋体" w:hAnsi="宋体"/>
                <w:sz w:val="18"/>
                <w:szCs w:val="18"/>
              </w:rPr>
              <w:t>30％～49％</w:t>
            </w:r>
          </w:p>
        </w:tc>
        <w:tc>
          <w:tcPr>
            <w:tcW w:w="1418" w:type="dxa"/>
            <w:vAlign w:val="center"/>
          </w:tcPr>
          <w:p>
            <w:pPr>
              <w:spacing w:before="120" w:beforeLines="50"/>
              <w:jc w:val="center"/>
              <w:rPr>
                <w:rFonts w:hint="eastAsia" w:ascii="宋体" w:hAnsi="宋体"/>
                <w:sz w:val="18"/>
                <w:szCs w:val="18"/>
              </w:rPr>
            </w:pPr>
            <w:r>
              <w:rPr>
                <w:rFonts w:ascii="宋体" w:hAnsi="宋体"/>
                <w:sz w:val="18"/>
                <w:szCs w:val="18"/>
              </w:rPr>
              <w:t>50％～59％</w:t>
            </w:r>
          </w:p>
        </w:tc>
        <w:tc>
          <w:tcPr>
            <w:tcW w:w="1134" w:type="dxa"/>
            <w:vAlign w:val="center"/>
          </w:tcPr>
          <w:p>
            <w:pPr>
              <w:spacing w:before="120" w:beforeLines="50"/>
              <w:jc w:val="center"/>
              <w:rPr>
                <w:rFonts w:hint="eastAsia" w:ascii="宋体" w:hAnsi="宋体"/>
                <w:sz w:val="18"/>
                <w:szCs w:val="18"/>
              </w:rPr>
            </w:pPr>
            <w:r>
              <w:rPr>
                <w:rFonts w:ascii="宋体" w:hAnsi="宋体"/>
                <w:sz w:val="18"/>
                <w:szCs w:val="18"/>
              </w:rPr>
              <w:t>60～87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PrEx>
        <w:tc>
          <w:tcPr>
            <w:tcW w:w="817" w:type="dxa"/>
            <w:vAlign w:val="center"/>
          </w:tcPr>
          <w:p>
            <w:pPr>
              <w:spacing w:before="120" w:beforeLines="50"/>
              <w:jc w:val="center"/>
              <w:rPr>
                <w:rFonts w:hint="eastAsia" w:ascii="宋体" w:hAnsi="宋体"/>
                <w:sz w:val="18"/>
                <w:szCs w:val="18"/>
              </w:rPr>
            </w:pPr>
            <w:r>
              <w:rPr>
                <w:rFonts w:ascii="宋体" w:hAnsi="宋体"/>
                <w:sz w:val="18"/>
                <w:szCs w:val="18"/>
              </w:rPr>
              <w:t>中 度</w:t>
            </w:r>
          </w:p>
        </w:tc>
        <w:tc>
          <w:tcPr>
            <w:tcW w:w="2552" w:type="dxa"/>
            <w:vAlign w:val="center"/>
          </w:tcPr>
          <w:p>
            <w:pPr>
              <w:spacing w:before="120" w:beforeLines="50"/>
              <w:rPr>
                <w:rFonts w:hint="eastAsia" w:ascii="宋体" w:hAnsi="宋体"/>
                <w:sz w:val="18"/>
                <w:szCs w:val="18"/>
              </w:rPr>
            </w:pPr>
            <w:r>
              <w:rPr>
                <w:rFonts w:ascii="宋体" w:hAnsi="宋体"/>
                <w:sz w:val="18"/>
                <w:szCs w:val="18"/>
              </w:rPr>
              <w:t>平</w:t>
            </w:r>
            <w:r>
              <w:rPr>
                <w:rFonts w:hint="eastAsia" w:ascii="宋体" w:hAnsi="宋体"/>
                <w:sz w:val="18"/>
                <w:szCs w:val="18"/>
              </w:rPr>
              <w:t>地</w:t>
            </w:r>
            <w:r>
              <w:rPr>
                <w:rFonts w:ascii="宋体" w:hAnsi="宋体"/>
                <w:sz w:val="18"/>
                <w:szCs w:val="18"/>
              </w:rPr>
              <w:t>步行100</w:t>
            </w:r>
            <w:r>
              <w:rPr>
                <w:rFonts w:hint="eastAsia" w:ascii="宋体" w:hAnsi="宋体"/>
                <w:sz w:val="18"/>
                <w:szCs w:val="18"/>
              </w:rPr>
              <w:t>0</w:t>
            </w:r>
            <w:r>
              <w:rPr>
                <w:rFonts w:ascii="宋体" w:hAnsi="宋体"/>
                <w:sz w:val="18"/>
                <w:szCs w:val="18"/>
              </w:rPr>
              <w:t>米</w:t>
            </w:r>
            <w:r>
              <w:rPr>
                <w:rFonts w:hint="eastAsia" w:ascii="宋体" w:hAnsi="宋体"/>
                <w:sz w:val="18"/>
                <w:szCs w:val="18"/>
              </w:rPr>
              <w:t>无</w:t>
            </w:r>
            <w:r>
              <w:rPr>
                <w:rFonts w:ascii="宋体" w:hAnsi="宋体"/>
                <w:sz w:val="18"/>
                <w:szCs w:val="18"/>
              </w:rPr>
              <w:t>气短</w:t>
            </w:r>
            <w:r>
              <w:rPr>
                <w:rFonts w:hint="eastAsia" w:ascii="宋体" w:hAnsi="宋体"/>
                <w:sz w:val="18"/>
                <w:szCs w:val="18"/>
              </w:rPr>
              <w:t>，但不能与同龄健康者保持相同速度，快步行走出现气短，登山或上楼时气短明显。</w:t>
            </w:r>
          </w:p>
        </w:tc>
        <w:tc>
          <w:tcPr>
            <w:tcW w:w="2551" w:type="dxa"/>
            <w:vAlign w:val="center"/>
          </w:tcPr>
          <w:p>
            <w:pPr>
              <w:spacing w:before="120" w:beforeLines="50"/>
              <w:jc w:val="center"/>
              <w:rPr>
                <w:rFonts w:hint="eastAsia" w:ascii="宋体" w:hAnsi="宋体"/>
                <w:sz w:val="18"/>
                <w:szCs w:val="18"/>
              </w:rPr>
            </w:pPr>
            <w:r>
              <w:rPr>
                <w:rFonts w:ascii="宋体" w:hAnsi="宋体"/>
                <w:sz w:val="18"/>
                <w:szCs w:val="18"/>
              </w:rPr>
              <w:t>50％～79％</w:t>
            </w:r>
          </w:p>
        </w:tc>
        <w:tc>
          <w:tcPr>
            <w:tcW w:w="1418" w:type="dxa"/>
            <w:vAlign w:val="center"/>
          </w:tcPr>
          <w:p>
            <w:pPr>
              <w:spacing w:before="120" w:beforeLines="50"/>
              <w:jc w:val="center"/>
              <w:rPr>
                <w:rFonts w:hint="eastAsia" w:ascii="宋体" w:hAnsi="宋体"/>
                <w:sz w:val="18"/>
                <w:szCs w:val="18"/>
              </w:rPr>
            </w:pPr>
            <w:r>
              <w:rPr>
                <w:rFonts w:ascii="宋体" w:hAnsi="宋体"/>
                <w:sz w:val="18"/>
                <w:szCs w:val="18"/>
              </w:rPr>
              <w:t>60％～69％</w:t>
            </w:r>
          </w:p>
        </w:tc>
        <w:tc>
          <w:tcPr>
            <w:tcW w:w="1134" w:type="dxa"/>
            <w:vAlign w:val="center"/>
          </w:tcPr>
          <w:p>
            <w:pPr>
              <w:spacing w:before="120" w:beforeLines="50"/>
              <w:jc w:val="center"/>
              <w:rPr>
                <w:rFonts w:hint="eastAsia" w:ascii="宋体" w:hAnsi="宋体"/>
                <w:sz w:val="18"/>
                <w:szCs w:val="18"/>
              </w:rPr>
            </w:pPr>
            <w:r>
              <w:rPr>
                <w:rFonts w:ascii="宋体" w:hAnsi="宋体"/>
                <w:sz w:val="18"/>
                <w:szCs w:val="18"/>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17" w:type="dxa"/>
            <w:vAlign w:val="center"/>
          </w:tcPr>
          <w:p>
            <w:pPr>
              <w:spacing w:before="120" w:beforeLines="50"/>
              <w:jc w:val="center"/>
              <w:rPr>
                <w:rFonts w:hint="eastAsia" w:ascii="宋体" w:hAnsi="宋体"/>
                <w:sz w:val="18"/>
                <w:szCs w:val="18"/>
              </w:rPr>
            </w:pPr>
            <w:r>
              <w:rPr>
                <w:rFonts w:ascii="宋体" w:hAnsi="宋体"/>
                <w:sz w:val="18"/>
                <w:szCs w:val="18"/>
              </w:rPr>
              <w:t>轻 度</w:t>
            </w:r>
          </w:p>
        </w:tc>
        <w:tc>
          <w:tcPr>
            <w:tcW w:w="2552" w:type="dxa"/>
            <w:vAlign w:val="center"/>
          </w:tcPr>
          <w:p>
            <w:pPr>
              <w:spacing w:before="120" w:beforeLines="50"/>
              <w:rPr>
                <w:rFonts w:hint="eastAsia" w:ascii="宋体" w:hAnsi="宋体"/>
                <w:sz w:val="18"/>
                <w:szCs w:val="18"/>
              </w:rPr>
            </w:pPr>
            <w:r>
              <w:rPr>
                <w:rFonts w:hint="eastAsia" w:ascii="宋体" w:hAnsi="宋体"/>
                <w:sz w:val="18"/>
                <w:szCs w:val="18"/>
              </w:rPr>
              <w:t>与同龄健康者在平地一同步行无气短，但登山或上楼时呈现</w:t>
            </w:r>
            <w:r>
              <w:rPr>
                <w:rFonts w:ascii="宋体" w:hAnsi="宋体"/>
                <w:sz w:val="18"/>
                <w:szCs w:val="18"/>
              </w:rPr>
              <w:t>气短</w:t>
            </w:r>
            <w:r>
              <w:rPr>
                <w:rFonts w:hint="eastAsia" w:ascii="宋体" w:hAnsi="宋体"/>
                <w:sz w:val="18"/>
                <w:szCs w:val="18"/>
              </w:rPr>
              <w:t>。</w:t>
            </w:r>
          </w:p>
        </w:tc>
        <w:tc>
          <w:tcPr>
            <w:tcW w:w="2551" w:type="dxa"/>
            <w:vAlign w:val="center"/>
          </w:tcPr>
          <w:p>
            <w:pPr>
              <w:spacing w:before="120" w:beforeLines="50"/>
              <w:jc w:val="center"/>
              <w:rPr>
                <w:rFonts w:hint="eastAsia" w:ascii="宋体" w:hAnsi="宋体"/>
                <w:sz w:val="18"/>
                <w:szCs w:val="18"/>
              </w:rPr>
            </w:pPr>
            <w:r>
              <w:rPr>
                <w:rFonts w:hint="eastAsia" w:ascii="宋体" w:hAnsi="宋体"/>
                <w:sz w:val="18"/>
                <w:szCs w:val="18"/>
              </w:rPr>
              <w:t>≥</w:t>
            </w:r>
            <w:r>
              <w:rPr>
                <w:rFonts w:ascii="宋体" w:hAnsi="宋体"/>
                <w:sz w:val="18"/>
                <w:szCs w:val="18"/>
              </w:rPr>
              <w:t>80％</w:t>
            </w:r>
          </w:p>
        </w:tc>
        <w:tc>
          <w:tcPr>
            <w:tcW w:w="1418" w:type="dxa"/>
            <w:vAlign w:val="center"/>
          </w:tcPr>
          <w:p>
            <w:pPr>
              <w:spacing w:before="120" w:beforeLines="50"/>
              <w:jc w:val="center"/>
              <w:rPr>
                <w:rFonts w:hint="eastAsia" w:ascii="宋体" w:hAnsi="宋体"/>
                <w:sz w:val="18"/>
                <w:szCs w:val="18"/>
              </w:rPr>
            </w:pPr>
            <w:r>
              <w:rPr>
                <w:rFonts w:ascii="宋体" w:hAnsi="宋体"/>
                <w:sz w:val="18"/>
                <w:szCs w:val="18"/>
              </w:rPr>
              <w:t>70％</w:t>
            </w:r>
          </w:p>
        </w:tc>
        <w:tc>
          <w:tcPr>
            <w:tcW w:w="1134" w:type="dxa"/>
            <w:vAlign w:val="center"/>
          </w:tcPr>
          <w:p>
            <w:pPr>
              <w:spacing w:before="120" w:beforeLines="50"/>
              <w:jc w:val="center"/>
              <w:rPr>
                <w:rFonts w:hint="eastAsia" w:ascii="宋体" w:hAnsi="宋体"/>
                <w:sz w:val="18"/>
                <w:szCs w:val="18"/>
              </w:rPr>
            </w:pPr>
            <w:r>
              <w:rPr>
                <w:rFonts w:ascii="宋体" w:hAnsi="宋体"/>
                <w:sz w:val="18"/>
                <w:szCs w:val="18"/>
              </w:rPr>
              <w:t>—</w:t>
            </w:r>
          </w:p>
        </w:tc>
      </w:tr>
    </w:tbl>
    <w:p>
      <w:pPr>
        <w:pStyle w:val="10"/>
        <w:spacing w:line="240" w:lineRule="exact"/>
        <w:ind w:firstLine="270" w:firstLineChars="150"/>
        <w:rPr>
          <w:rFonts w:hint="eastAsia" w:ascii="华文楷体" w:hAnsi="华文楷体" w:eastAsia="华文楷体"/>
          <w:sz w:val="18"/>
          <w:szCs w:val="18"/>
        </w:rPr>
      </w:pPr>
      <w:r>
        <w:rPr>
          <w:rFonts w:hint="eastAsia" w:ascii="华文楷体" w:hAnsi="华文楷体" w:eastAsia="华文楷体"/>
          <w:sz w:val="18"/>
          <w:szCs w:val="18"/>
        </w:rPr>
        <w:t>注：动脉血氧分压在60～87mmHg时，需参考其他肺功能检验结果。</w:t>
      </w:r>
    </w:p>
    <w:p>
      <w:pPr>
        <w:pStyle w:val="15"/>
        <w:wordWrap/>
        <w:spacing w:before="120" w:beforeLines="50" w:after="120" w:afterLines="50" w:line="312" w:lineRule="auto"/>
        <w:ind w:left="0"/>
        <w:rPr>
          <w:rFonts w:hint="eastAsia"/>
        </w:rPr>
      </w:pPr>
      <w:r>
        <w:rPr>
          <w:rFonts w:hint="eastAsia"/>
        </w:rPr>
        <w:t>心功能分级</w:t>
      </w:r>
    </w:p>
    <w:p>
      <w:pPr>
        <w:pStyle w:val="16"/>
        <w:numPr>
          <w:ilvl w:val="0"/>
          <w:numId w:val="102"/>
        </w:numPr>
        <w:tabs>
          <w:tab w:val="left" w:pos="839"/>
        </w:tabs>
        <w:rPr>
          <w:rFonts w:hint="eastAsia"/>
        </w:rPr>
      </w:pPr>
      <w:r>
        <w:rPr>
          <w:rFonts w:hint="eastAsia"/>
        </w:rPr>
        <w:t>Ⅰ级  体力活动无明显受限，日常活动不易引起过度乏力、呼吸困难或者心悸等不适。亦称心功能代偿期；</w:t>
      </w:r>
    </w:p>
    <w:p>
      <w:pPr>
        <w:pStyle w:val="16"/>
        <w:rPr>
          <w:rFonts w:hint="eastAsia"/>
        </w:rPr>
      </w:pPr>
      <w:r>
        <w:rPr>
          <w:rFonts w:hint="eastAsia"/>
        </w:rPr>
        <w:t>Ⅱ级  体力活动轻度受限，休息时无明显不适症状，但日常活动即可引起乏力、心悸、呼吸困难或者心绞痛。亦称Ⅰ度或者轻度心衰；</w:t>
      </w:r>
    </w:p>
    <w:p>
      <w:pPr>
        <w:pStyle w:val="16"/>
        <w:rPr>
          <w:rFonts w:hint="eastAsia"/>
        </w:rPr>
      </w:pPr>
      <w:r>
        <w:rPr>
          <w:rFonts w:hint="eastAsia"/>
        </w:rPr>
        <w:t>Ⅲ级  体力活动明显受限，休息时无症状，轻于日常的活动即可引起上述症状。亦称Ⅱ度或者中度心衰；</w:t>
      </w:r>
    </w:p>
    <w:p>
      <w:pPr>
        <w:pStyle w:val="16"/>
        <w:rPr>
          <w:rFonts w:hint="eastAsia"/>
        </w:rPr>
      </w:pPr>
      <w:r>
        <w:rPr>
          <w:rFonts w:hint="eastAsia"/>
        </w:rPr>
        <w:t>Ⅳ级  不能从事任何体力活动，休息时亦有充血性心衰或心绞痛症状，任何体力活动后加重。亦称Ⅲ度或者重度心衰。</w:t>
      </w:r>
    </w:p>
    <w:p>
      <w:pPr>
        <w:pStyle w:val="10"/>
        <w:spacing w:line="240" w:lineRule="exact"/>
        <w:ind w:firstLine="360"/>
        <w:rPr>
          <w:rFonts w:ascii="华文楷体" w:hAnsi="华文楷体" w:eastAsia="华文楷体"/>
          <w:sz w:val="18"/>
          <w:szCs w:val="18"/>
        </w:rPr>
      </w:pPr>
      <w:r>
        <w:rPr>
          <w:rFonts w:hint="eastAsia" w:ascii="华文楷体" w:hAnsi="华文楷体" w:eastAsia="华文楷体"/>
          <w:sz w:val="18"/>
          <w:szCs w:val="18"/>
        </w:rPr>
        <w:t>注：心功能评残时机应以损伤后心功能稳定6个月以上为宜，结合心功能客观检查结果，如EF值等。</w:t>
      </w:r>
    </w:p>
    <w:p>
      <w:pPr>
        <w:pStyle w:val="15"/>
        <w:wordWrap/>
        <w:spacing w:before="120" w:beforeLines="50" w:after="120" w:afterLines="50" w:line="312" w:lineRule="auto"/>
        <w:ind w:left="0"/>
        <w:rPr>
          <w:rFonts w:hint="eastAsia"/>
        </w:rPr>
      </w:pPr>
      <w:r>
        <w:rPr>
          <w:rFonts w:hint="eastAsia"/>
        </w:rPr>
        <w:t>肝衰竭分期</w:t>
      </w:r>
    </w:p>
    <w:p>
      <w:pPr>
        <w:pStyle w:val="16"/>
        <w:numPr>
          <w:numId w:val="0"/>
        </w:numPr>
        <w:ind w:left="719" w:leftChars="171" w:hanging="360"/>
        <w:rPr>
          <w:rFonts w:hint="eastAsia"/>
        </w:rPr>
      </w:pPr>
      <w:r>
        <w:rPr>
          <w:rFonts w:hint="eastAsia"/>
        </w:rPr>
        <w:t xml:space="preserve">a) 早期  </w:t>
      </w: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极度疲乏，并有厌食、呕吐和腹胀等严重消化道症状；</w:t>
      </w: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黄疸进行性加重（血清总胆红素≥171μmol/L或每日上升17.1μmol/L；</w:t>
      </w: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rPr>
        <w:t>有出血倾向，30%</w:t>
      </w:r>
      <w:r>
        <w:rPr>
          <w:rFonts w:ascii="Times New Roman"/>
        </w:rPr>
        <w:t>˂</w:t>
      </w:r>
      <w:r>
        <w:rPr>
          <w:rFonts w:hint="eastAsia"/>
        </w:rPr>
        <w:t>凝血酶原活动度（PTA）</w:t>
      </w:r>
      <w:r>
        <w:rPr>
          <w:rFonts w:hint="eastAsia" w:hAnsi="宋体"/>
        </w:rPr>
        <w:t>≤</w:t>
      </w:r>
      <w:r>
        <w:rPr>
          <w:rFonts w:hint="eastAsia"/>
        </w:rPr>
        <w:t>40%；未出现肝性脑病或明显腹水。</w:t>
      </w:r>
    </w:p>
    <w:p>
      <w:pPr>
        <w:pStyle w:val="16"/>
        <w:numPr>
          <w:numId w:val="0"/>
        </w:numPr>
        <w:ind w:left="719" w:leftChars="171" w:hanging="360"/>
        <w:rPr>
          <w:rFonts w:hint="eastAsia"/>
        </w:rPr>
      </w:pPr>
      <w:r>
        <w:rPr>
          <w:rFonts w:hint="eastAsia"/>
        </w:rPr>
        <w:t>b) 中期  在肝衰竭早期表现的基础上，病情进一步进展，并出现以下情况之一者：</w:t>
      </w: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出现Ⅱ度以上肝性脑病和（或）明显腹水；</w:t>
      </w: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出血倾向明显（出血点或瘀斑），且20%</w:t>
      </w:r>
      <w:r>
        <w:rPr>
          <w:rFonts w:ascii="Times New Roman"/>
        </w:rPr>
        <w:t>˂</w:t>
      </w:r>
      <w:r>
        <w:rPr>
          <w:rFonts w:hint="eastAsia"/>
        </w:rPr>
        <w:t>凝血酶原活动度（PTA）</w:t>
      </w:r>
      <w:r>
        <w:rPr>
          <w:rFonts w:hint="eastAsia" w:hAnsi="宋体"/>
        </w:rPr>
        <w:t>≤</w:t>
      </w:r>
      <w:r>
        <w:rPr>
          <w:rFonts w:hint="eastAsia"/>
        </w:rPr>
        <w:t>30%。</w:t>
      </w:r>
    </w:p>
    <w:p>
      <w:pPr>
        <w:pStyle w:val="16"/>
        <w:numPr>
          <w:numId w:val="0"/>
        </w:numPr>
        <w:ind w:left="719" w:leftChars="171" w:hanging="360"/>
        <w:rPr>
          <w:rFonts w:hint="eastAsia"/>
        </w:rPr>
      </w:pPr>
      <w:r>
        <w:rPr>
          <w:rFonts w:hint="eastAsia"/>
        </w:rPr>
        <w:t>c) 晚期  在肝衰竭中期表现的基础上，病情进一步进展，并出现以下情况之一者：</w:t>
      </w: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有难治性并发症，例如肝肾综合征、上消化道出血、严重感染和难以纠正的电解质紊乱；</w:t>
      </w: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出现Ⅲ度以上肝性脑病；</w:t>
      </w: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rPr>
        <w:t>有严重出血倾向（注射部位瘀斑等），凝血酶原活动度（PTA）</w:t>
      </w:r>
      <w:r>
        <w:rPr>
          <w:rFonts w:hint="eastAsia" w:hAnsi="宋体"/>
        </w:rPr>
        <w:t>≤</w:t>
      </w:r>
      <w:r>
        <w:rPr>
          <w:rFonts w:hint="eastAsia"/>
        </w:rPr>
        <w:t>20%。</w:t>
      </w:r>
    </w:p>
    <w:p>
      <w:pPr>
        <w:pStyle w:val="15"/>
        <w:wordWrap/>
        <w:spacing w:before="120" w:beforeLines="50" w:after="120" w:afterLines="50" w:line="312" w:lineRule="auto"/>
        <w:ind w:left="0"/>
        <w:jc w:val="left"/>
        <w:rPr>
          <w:rFonts w:hint="eastAsia"/>
        </w:rPr>
      </w:pPr>
      <w:r>
        <w:rPr>
          <w:rFonts w:hint="eastAsia"/>
        </w:rPr>
        <w:t>肾功能损害分期</w:t>
      </w:r>
    </w:p>
    <w:p>
      <w:pPr>
        <w:pStyle w:val="10"/>
        <w:rPr>
          <w:rFonts w:hint="eastAsia"/>
        </w:rPr>
      </w:pPr>
      <w:r>
        <w:rPr>
          <w:rFonts w:hint="eastAsia"/>
        </w:rPr>
        <w:t>肾功能损害是指：</w:t>
      </w: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肾脏损伤（肾脏结构或功能异常）</w:t>
      </w:r>
      <w:r>
        <w:rPr>
          <w:rFonts w:hint="eastAsia" w:hAnsi="宋体"/>
        </w:rPr>
        <w:t>≥</w:t>
      </w:r>
      <w:r>
        <w:rPr>
          <w:rFonts w:hint="eastAsia"/>
        </w:rPr>
        <w:t>3个月，可以有或无肾小球滤过率（GFR）下降，临床上表现为病理学检查异常或者肾损伤（包括血、尿成分异常或影像学检查异常）；</w:t>
      </w: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GFR</w:t>
      </w:r>
      <w:r>
        <w:rPr>
          <w:rFonts w:ascii="Times New Roman"/>
        </w:rPr>
        <w:t>˂</w:t>
      </w:r>
      <w:r>
        <w:rPr>
          <w:rFonts w:hint="eastAsia"/>
        </w:rPr>
        <w:t>60mL/（min·1.73m</w:t>
      </w:r>
      <w:r>
        <w:rPr>
          <w:rFonts w:hint="eastAsia"/>
          <w:vertAlign w:val="superscript"/>
        </w:rPr>
        <w:t>2</w:t>
      </w:r>
      <w:r>
        <w:rPr>
          <w:rFonts w:hint="eastAsia"/>
        </w:rPr>
        <w:t>）</w:t>
      </w:r>
      <w:r>
        <w:rPr>
          <w:rFonts w:hint="eastAsia" w:hAnsi="宋体"/>
        </w:rPr>
        <w:t>达</w:t>
      </w:r>
      <w:r>
        <w:rPr>
          <w:rFonts w:hint="eastAsia"/>
        </w:rPr>
        <w:t>3个月，有或无肾脏损伤证据。</w:t>
      </w:r>
    </w:p>
    <w:p>
      <w:pPr>
        <w:pStyle w:val="10"/>
        <w:rPr>
          <w:rFonts w:hint="eastAsia"/>
        </w:rPr>
      </w:pPr>
      <w:r>
        <w:rPr>
          <w:rFonts w:hint="eastAsia"/>
        </w:rPr>
        <w:t>慢性肾脏病（CKD）肾功能损害分期见表B-3。</w:t>
      </w:r>
    </w:p>
    <w:p>
      <w:pPr>
        <w:spacing w:before="156" w:after="156"/>
        <w:jc w:val="center"/>
        <w:rPr>
          <w:rFonts w:hint="eastAsia"/>
          <w:b/>
        </w:rPr>
      </w:pPr>
      <w:r>
        <w:rPr>
          <w:rFonts w:hint="eastAsia"/>
          <w:b/>
        </w:rPr>
        <w:t>表B-3 肾功能损害分期</w:t>
      </w:r>
    </w:p>
    <w:tbl>
      <w:tblPr>
        <w:tblStyle w:val="8"/>
        <w:tblW w:w="8602" w:type="dxa"/>
        <w:tblInd w:w="-34"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5"/>
        <w:gridCol w:w="1887"/>
        <w:gridCol w:w="558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135" w:type="dxa"/>
            <w:tcBorders>
              <w:top w:val="single" w:color="auto" w:sz="4" w:space="0"/>
              <w:bottom w:val="single" w:color="auto" w:sz="4" w:space="0"/>
            </w:tcBorders>
            <w:vAlign w:val="center"/>
          </w:tcPr>
          <w:p>
            <w:pPr>
              <w:jc w:val="center"/>
              <w:rPr>
                <w:rFonts w:ascii="宋体" w:hAnsi="宋体"/>
                <w:sz w:val="18"/>
                <w:szCs w:val="18"/>
              </w:rPr>
            </w:pPr>
            <w:r>
              <w:rPr>
                <w:rFonts w:hint="eastAsia" w:ascii="宋体" w:hAnsi="宋体"/>
                <w:sz w:val="18"/>
                <w:szCs w:val="18"/>
              </w:rPr>
              <w:t>CKD分期</w:t>
            </w:r>
          </w:p>
        </w:tc>
        <w:tc>
          <w:tcPr>
            <w:tcW w:w="1887" w:type="dxa"/>
            <w:tcBorders>
              <w:top w:val="single" w:color="auto" w:sz="4" w:space="0"/>
              <w:bottom w:val="single" w:color="auto" w:sz="4" w:space="0"/>
            </w:tcBorders>
            <w:vAlign w:val="center"/>
          </w:tcPr>
          <w:p>
            <w:pPr>
              <w:jc w:val="center"/>
              <w:rPr>
                <w:rFonts w:ascii="宋体" w:hAnsi="宋体"/>
                <w:sz w:val="18"/>
                <w:szCs w:val="18"/>
              </w:rPr>
            </w:pPr>
            <w:r>
              <w:rPr>
                <w:rFonts w:hint="eastAsia" w:ascii="宋体" w:hAnsi="宋体"/>
                <w:sz w:val="18"/>
                <w:szCs w:val="18"/>
              </w:rPr>
              <w:t>名称</w:t>
            </w:r>
          </w:p>
        </w:tc>
        <w:tc>
          <w:tcPr>
            <w:tcW w:w="5580" w:type="dxa"/>
            <w:tcBorders>
              <w:top w:val="single" w:color="auto" w:sz="4" w:space="0"/>
              <w:bottom w:val="single" w:color="auto" w:sz="4" w:space="0"/>
            </w:tcBorders>
            <w:vAlign w:val="center"/>
          </w:tcPr>
          <w:p>
            <w:pPr>
              <w:jc w:val="center"/>
              <w:rPr>
                <w:rFonts w:ascii="宋体" w:hAnsi="宋体"/>
                <w:sz w:val="18"/>
                <w:szCs w:val="18"/>
              </w:rPr>
            </w:pPr>
            <w:r>
              <w:rPr>
                <w:rFonts w:hint="eastAsia" w:ascii="宋体" w:hAnsi="宋体"/>
                <w:sz w:val="18"/>
                <w:szCs w:val="18"/>
              </w:rPr>
              <w:t>诊断标准</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135" w:type="dxa"/>
            <w:tcBorders>
              <w:top w:val="single" w:color="auto" w:sz="4" w:space="0"/>
            </w:tcBorders>
            <w:vAlign w:val="center"/>
          </w:tcPr>
          <w:p>
            <w:pPr>
              <w:jc w:val="center"/>
              <w:rPr>
                <w:rFonts w:ascii="宋体" w:hAnsi="宋体"/>
                <w:sz w:val="18"/>
                <w:szCs w:val="18"/>
              </w:rPr>
            </w:pPr>
            <w:r>
              <w:rPr>
                <w:rFonts w:hint="eastAsia" w:ascii="宋体" w:hAnsi="宋体"/>
                <w:sz w:val="18"/>
                <w:szCs w:val="18"/>
              </w:rPr>
              <w:t>1期</w:t>
            </w:r>
          </w:p>
        </w:tc>
        <w:tc>
          <w:tcPr>
            <w:tcW w:w="1887" w:type="dxa"/>
            <w:tcBorders>
              <w:top w:val="single" w:color="auto" w:sz="4" w:space="0"/>
            </w:tcBorders>
            <w:vAlign w:val="center"/>
          </w:tcPr>
          <w:p>
            <w:pPr>
              <w:jc w:val="center"/>
              <w:rPr>
                <w:rFonts w:ascii="宋体" w:hAnsi="宋体"/>
                <w:sz w:val="18"/>
                <w:szCs w:val="18"/>
              </w:rPr>
            </w:pPr>
            <w:r>
              <w:rPr>
                <w:rFonts w:hint="eastAsia" w:ascii="宋体" w:hAnsi="宋体"/>
                <w:sz w:val="18"/>
                <w:szCs w:val="18"/>
              </w:rPr>
              <w:t>肾功能正常</w:t>
            </w:r>
          </w:p>
        </w:tc>
        <w:tc>
          <w:tcPr>
            <w:tcW w:w="5580" w:type="dxa"/>
            <w:tcBorders>
              <w:top w:val="single" w:color="auto" w:sz="4" w:space="0"/>
            </w:tcBorders>
            <w:vAlign w:val="center"/>
          </w:tcPr>
          <w:p>
            <w:pPr>
              <w:jc w:val="center"/>
              <w:rPr>
                <w:rFonts w:ascii="宋体" w:hAnsi="宋体"/>
                <w:sz w:val="18"/>
                <w:szCs w:val="18"/>
              </w:rPr>
            </w:pPr>
            <w:r>
              <w:rPr>
                <w:rFonts w:hint="eastAsia" w:ascii="宋体" w:hAnsi="宋体"/>
                <w:sz w:val="18"/>
                <w:szCs w:val="18"/>
              </w:rPr>
              <w:t>GFR≥90mL/（min·1.73m</w:t>
            </w:r>
            <w:r>
              <w:rPr>
                <w:rFonts w:hint="eastAsia" w:ascii="宋体" w:hAnsi="宋体"/>
                <w:sz w:val="18"/>
                <w:szCs w:val="18"/>
                <w:vertAlign w:val="superscript"/>
              </w:rPr>
              <w:t>2</w:t>
            </w:r>
            <w:r>
              <w:rPr>
                <w:rFonts w:hint="eastAsia" w:ascii="宋体" w:hAnsi="宋体"/>
                <w:sz w:val="18"/>
                <w:szCs w:val="18"/>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135" w:type="dxa"/>
            <w:vAlign w:val="center"/>
          </w:tcPr>
          <w:p>
            <w:pPr>
              <w:spacing w:before="120" w:beforeLines="50"/>
              <w:jc w:val="center"/>
              <w:rPr>
                <w:rFonts w:ascii="宋体" w:hAnsi="宋体"/>
                <w:sz w:val="18"/>
                <w:szCs w:val="18"/>
              </w:rPr>
            </w:pPr>
            <w:r>
              <w:rPr>
                <w:rFonts w:hint="eastAsia" w:ascii="宋体" w:hAnsi="宋体"/>
                <w:sz w:val="18"/>
                <w:szCs w:val="18"/>
              </w:rPr>
              <w:t>2期</w:t>
            </w:r>
          </w:p>
        </w:tc>
        <w:tc>
          <w:tcPr>
            <w:tcW w:w="1887" w:type="dxa"/>
            <w:vAlign w:val="center"/>
          </w:tcPr>
          <w:p>
            <w:pPr>
              <w:spacing w:before="120" w:beforeLines="50"/>
              <w:jc w:val="center"/>
              <w:rPr>
                <w:rFonts w:ascii="宋体" w:hAnsi="宋体"/>
                <w:sz w:val="18"/>
                <w:szCs w:val="18"/>
              </w:rPr>
            </w:pPr>
            <w:r>
              <w:rPr>
                <w:rFonts w:hint="eastAsia" w:ascii="宋体" w:hAnsi="宋体"/>
                <w:sz w:val="18"/>
                <w:szCs w:val="18"/>
              </w:rPr>
              <w:t>肾功能轻度下降</w:t>
            </w:r>
          </w:p>
        </w:tc>
        <w:tc>
          <w:tcPr>
            <w:tcW w:w="5580" w:type="dxa"/>
            <w:vAlign w:val="center"/>
          </w:tcPr>
          <w:p>
            <w:pPr>
              <w:spacing w:before="120" w:beforeLines="50" w:line="240" w:lineRule="exact"/>
              <w:jc w:val="center"/>
              <w:rPr>
                <w:rFonts w:ascii="宋体" w:hAnsi="宋体"/>
                <w:sz w:val="18"/>
                <w:szCs w:val="18"/>
              </w:rPr>
            </w:pPr>
            <w:r>
              <w:rPr>
                <w:rFonts w:hint="eastAsia" w:ascii="宋体" w:hAnsi="宋体"/>
                <w:sz w:val="18"/>
                <w:szCs w:val="18"/>
              </w:rPr>
              <w:t>GFR60～89mL/（min·1.73m</w:t>
            </w:r>
            <w:r>
              <w:rPr>
                <w:rFonts w:hint="eastAsia" w:ascii="宋体" w:hAnsi="宋体"/>
                <w:sz w:val="18"/>
                <w:szCs w:val="18"/>
                <w:vertAlign w:val="superscript"/>
              </w:rPr>
              <w:t>2</w:t>
            </w:r>
            <w:r>
              <w:rPr>
                <w:rFonts w:hint="eastAsia" w:ascii="宋体" w:hAnsi="宋体"/>
                <w:sz w:val="18"/>
                <w:szCs w:val="18"/>
              </w:rPr>
              <w:t>）≥3个月，有或无肾脏损伤证据</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PrEx>
        <w:tc>
          <w:tcPr>
            <w:tcW w:w="1135" w:type="dxa"/>
            <w:vAlign w:val="center"/>
          </w:tcPr>
          <w:p>
            <w:pPr>
              <w:spacing w:before="120" w:beforeLines="50"/>
              <w:jc w:val="center"/>
              <w:rPr>
                <w:rFonts w:ascii="宋体" w:hAnsi="宋体"/>
                <w:sz w:val="18"/>
                <w:szCs w:val="18"/>
              </w:rPr>
            </w:pPr>
            <w:r>
              <w:rPr>
                <w:rFonts w:hint="eastAsia" w:ascii="宋体" w:hAnsi="宋体"/>
                <w:sz w:val="18"/>
                <w:szCs w:val="18"/>
              </w:rPr>
              <w:t>3期</w:t>
            </w:r>
          </w:p>
        </w:tc>
        <w:tc>
          <w:tcPr>
            <w:tcW w:w="1887" w:type="dxa"/>
            <w:vAlign w:val="center"/>
          </w:tcPr>
          <w:p>
            <w:pPr>
              <w:spacing w:before="120" w:beforeLines="50"/>
              <w:jc w:val="center"/>
              <w:rPr>
                <w:rFonts w:ascii="宋体" w:hAnsi="宋体"/>
                <w:sz w:val="18"/>
                <w:szCs w:val="18"/>
              </w:rPr>
            </w:pPr>
            <w:r>
              <w:rPr>
                <w:rFonts w:hint="eastAsia" w:ascii="宋体" w:hAnsi="宋体"/>
                <w:sz w:val="18"/>
                <w:szCs w:val="18"/>
              </w:rPr>
              <w:t>肾功能中度下降</w:t>
            </w:r>
          </w:p>
        </w:tc>
        <w:tc>
          <w:tcPr>
            <w:tcW w:w="5580" w:type="dxa"/>
            <w:vAlign w:val="center"/>
          </w:tcPr>
          <w:p>
            <w:pPr>
              <w:spacing w:before="120" w:beforeLines="50" w:line="240" w:lineRule="exact"/>
              <w:jc w:val="center"/>
              <w:rPr>
                <w:rFonts w:ascii="宋体" w:hAnsi="宋体"/>
                <w:sz w:val="18"/>
                <w:szCs w:val="18"/>
              </w:rPr>
            </w:pPr>
            <w:r>
              <w:rPr>
                <w:rFonts w:hint="eastAsia" w:ascii="宋体" w:hAnsi="宋体"/>
                <w:sz w:val="18"/>
                <w:szCs w:val="18"/>
              </w:rPr>
              <w:t>GFR30～59mL/（min·1.73m</w:t>
            </w:r>
            <w:r>
              <w:rPr>
                <w:rFonts w:hint="eastAsia" w:ascii="宋体" w:hAnsi="宋体"/>
                <w:sz w:val="18"/>
                <w:szCs w:val="18"/>
                <w:vertAlign w:val="superscript"/>
              </w:rPr>
              <w:t>2</w:t>
            </w:r>
            <w:r>
              <w:rPr>
                <w:rFonts w:hint="eastAsia" w:ascii="宋体" w:hAnsi="宋体"/>
                <w:sz w:val="18"/>
                <w:szCs w:val="18"/>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135" w:type="dxa"/>
            <w:vAlign w:val="center"/>
          </w:tcPr>
          <w:p>
            <w:pPr>
              <w:spacing w:before="120" w:beforeLines="50"/>
              <w:jc w:val="center"/>
              <w:rPr>
                <w:rFonts w:hint="eastAsia" w:ascii="宋体" w:hAnsi="宋体"/>
                <w:sz w:val="18"/>
                <w:szCs w:val="18"/>
              </w:rPr>
            </w:pPr>
            <w:r>
              <w:rPr>
                <w:rFonts w:hint="eastAsia" w:ascii="宋体" w:hAnsi="宋体"/>
                <w:sz w:val="18"/>
                <w:szCs w:val="18"/>
              </w:rPr>
              <w:t>4期</w:t>
            </w:r>
          </w:p>
        </w:tc>
        <w:tc>
          <w:tcPr>
            <w:tcW w:w="1887" w:type="dxa"/>
            <w:vAlign w:val="center"/>
          </w:tcPr>
          <w:p>
            <w:pPr>
              <w:spacing w:before="120" w:beforeLines="50"/>
              <w:jc w:val="center"/>
              <w:rPr>
                <w:rFonts w:hint="eastAsia" w:ascii="宋体" w:hAnsi="宋体"/>
                <w:sz w:val="18"/>
                <w:szCs w:val="18"/>
              </w:rPr>
            </w:pPr>
            <w:r>
              <w:rPr>
                <w:rFonts w:hint="eastAsia" w:ascii="宋体" w:hAnsi="宋体"/>
                <w:sz w:val="18"/>
                <w:szCs w:val="18"/>
              </w:rPr>
              <w:t>肾功能重度下降</w:t>
            </w:r>
          </w:p>
        </w:tc>
        <w:tc>
          <w:tcPr>
            <w:tcW w:w="5580" w:type="dxa"/>
            <w:vAlign w:val="center"/>
          </w:tcPr>
          <w:p>
            <w:pPr>
              <w:spacing w:before="120" w:beforeLines="50" w:line="240" w:lineRule="exact"/>
              <w:jc w:val="center"/>
              <w:rPr>
                <w:rFonts w:hint="eastAsia" w:ascii="宋体" w:hAnsi="宋体"/>
                <w:sz w:val="18"/>
                <w:szCs w:val="18"/>
              </w:rPr>
            </w:pPr>
            <w:r>
              <w:rPr>
                <w:rFonts w:hint="eastAsia" w:ascii="宋体" w:hAnsi="宋体"/>
                <w:sz w:val="18"/>
                <w:szCs w:val="18"/>
              </w:rPr>
              <w:t>GFR15～29mL/（min·1.73m</w:t>
            </w:r>
            <w:r>
              <w:rPr>
                <w:rFonts w:hint="eastAsia" w:ascii="宋体" w:hAnsi="宋体"/>
                <w:sz w:val="18"/>
                <w:szCs w:val="18"/>
                <w:vertAlign w:val="superscript"/>
              </w:rPr>
              <w:t>2</w:t>
            </w:r>
            <w:r>
              <w:rPr>
                <w:rFonts w:hint="eastAsia" w:ascii="宋体" w:hAnsi="宋体"/>
                <w:sz w:val="18"/>
                <w:szCs w:val="18"/>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135" w:type="dxa"/>
            <w:vAlign w:val="center"/>
          </w:tcPr>
          <w:p>
            <w:pPr>
              <w:spacing w:before="120" w:beforeLines="50"/>
              <w:jc w:val="center"/>
              <w:rPr>
                <w:rFonts w:hint="eastAsia" w:ascii="宋体" w:hAnsi="宋体"/>
                <w:sz w:val="18"/>
                <w:szCs w:val="18"/>
              </w:rPr>
            </w:pPr>
            <w:r>
              <w:rPr>
                <w:rFonts w:hint="eastAsia" w:ascii="宋体" w:hAnsi="宋体"/>
                <w:sz w:val="18"/>
                <w:szCs w:val="18"/>
              </w:rPr>
              <w:t>5期</w:t>
            </w:r>
          </w:p>
        </w:tc>
        <w:tc>
          <w:tcPr>
            <w:tcW w:w="1887" w:type="dxa"/>
            <w:vAlign w:val="center"/>
          </w:tcPr>
          <w:p>
            <w:pPr>
              <w:spacing w:before="120" w:beforeLines="50"/>
              <w:jc w:val="center"/>
              <w:rPr>
                <w:rFonts w:hint="eastAsia" w:ascii="宋体" w:hAnsi="宋体"/>
                <w:sz w:val="18"/>
                <w:szCs w:val="18"/>
              </w:rPr>
            </w:pPr>
            <w:r>
              <w:rPr>
                <w:rFonts w:hint="eastAsia" w:ascii="宋体" w:hAnsi="宋体"/>
                <w:sz w:val="18"/>
                <w:szCs w:val="18"/>
              </w:rPr>
              <w:t>肾衰竭</w:t>
            </w:r>
          </w:p>
        </w:tc>
        <w:tc>
          <w:tcPr>
            <w:tcW w:w="5580" w:type="dxa"/>
            <w:vAlign w:val="center"/>
          </w:tcPr>
          <w:p>
            <w:pPr>
              <w:spacing w:before="120" w:beforeLines="50" w:line="240" w:lineRule="exact"/>
              <w:jc w:val="center"/>
              <w:rPr>
                <w:rFonts w:hint="eastAsia" w:ascii="宋体" w:hAnsi="宋体"/>
                <w:sz w:val="18"/>
                <w:szCs w:val="18"/>
              </w:rPr>
            </w:pPr>
            <w:r>
              <w:rPr>
                <w:rFonts w:hint="eastAsia" w:ascii="宋体" w:hAnsi="宋体"/>
                <w:sz w:val="18"/>
                <w:szCs w:val="18"/>
              </w:rPr>
              <w:t>GFR&lt;15mL/（min·1.73m</w:t>
            </w:r>
            <w:r>
              <w:rPr>
                <w:rFonts w:hint="eastAsia" w:ascii="宋体" w:hAnsi="宋体"/>
                <w:sz w:val="18"/>
                <w:szCs w:val="18"/>
                <w:vertAlign w:val="superscript"/>
              </w:rPr>
              <w:t>2</w:t>
            </w:r>
            <w:r>
              <w:rPr>
                <w:rFonts w:hint="eastAsia" w:ascii="宋体" w:hAnsi="宋体"/>
                <w:sz w:val="18"/>
                <w:szCs w:val="18"/>
              </w:rPr>
              <w:t>）</w:t>
            </w:r>
          </w:p>
        </w:tc>
      </w:tr>
    </w:tbl>
    <w:p>
      <w:pPr>
        <w:pStyle w:val="15"/>
        <w:wordWrap/>
        <w:spacing w:before="120" w:beforeLines="50" w:after="120" w:afterLines="50" w:line="312" w:lineRule="auto"/>
        <w:ind w:left="0"/>
        <w:rPr>
          <w:rFonts w:hint="eastAsia"/>
        </w:rPr>
      </w:pPr>
      <w:r>
        <w:rPr>
          <w:rFonts w:hint="eastAsia"/>
        </w:rPr>
        <w:t>肾上腺皮质功能减退分度</w:t>
      </w:r>
    </w:p>
    <w:p>
      <w:pPr>
        <w:pStyle w:val="18"/>
        <w:spacing w:before="120" w:beforeLines="0" w:after="120" w:afterLines="0"/>
        <w:rPr>
          <w:rFonts w:hint="eastAsia"/>
        </w:rPr>
      </w:pPr>
      <w:r>
        <w:rPr>
          <w:rFonts w:hint="eastAsia"/>
        </w:rPr>
        <w:t>功能明显减退</w:t>
      </w:r>
    </w:p>
    <w:p>
      <w:pPr>
        <w:pStyle w:val="16"/>
        <w:numPr>
          <w:ilvl w:val="0"/>
          <w:numId w:val="103"/>
        </w:numPr>
        <w:tabs>
          <w:tab w:val="left" w:pos="839"/>
        </w:tabs>
        <w:rPr>
          <w:rFonts w:hint="eastAsia"/>
        </w:rPr>
      </w:pPr>
      <w:r>
        <w:rPr>
          <w:rFonts w:hint="eastAsia"/>
        </w:rPr>
        <w:t>乏力，消瘦，皮肤、黏膜色素沉着，白癜，血压降低，食欲不振；</w:t>
      </w:r>
    </w:p>
    <w:p>
      <w:pPr>
        <w:pStyle w:val="16"/>
        <w:rPr>
          <w:rFonts w:hint="eastAsia"/>
        </w:rPr>
      </w:pPr>
      <w:r>
        <w:rPr>
          <w:rFonts w:hint="eastAsia"/>
        </w:rPr>
        <w:t>24h尿中17-羟类固醇＜4mg，17-酮类固醇＜10mg；</w:t>
      </w:r>
    </w:p>
    <w:p>
      <w:pPr>
        <w:pStyle w:val="16"/>
        <w:rPr>
          <w:rFonts w:hint="eastAsia"/>
        </w:rPr>
      </w:pPr>
      <w:r>
        <w:rPr>
          <w:rFonts w:hint="eastAsia"/>
        </w:rPr>
        <w:t>血浆皮质醇含量：早上8时，＜9mg/100mL；下午4时，＜3mg/100mL；</w:t>
      </w:r>
    </w:p>
    <w:p>
      <w:pPr>
        <w:pStyle w:val="16"/>
        <w:rPr>
          <w:rFonts w:hint="eastAsia"/>
        </w:rPr>
      </w:pPr>
      <w:r>
        <w:rPr>
          <w:rFonts w:hint="eastAsia"/>
        </w:rPr>
        <w:t>尿中皮质醇＜5mg/24h。</w:t>
      </w:r>
    </w:p>
    <w:p>
      <w:pPr>
        <w:pStyle w:val="18"/>
        <w:spacing w:before="120" w:after="120"/>
        <w:rPr>
          <w:rFonts w:hint="eastAsia"/>
        </w:rPr>
      </w:pPr>
      <w:r>
        <w:rPr>
          <w:rFonts w:hint="eastAsia"/>
        </w:rPr>
        <w:t>功能轻度减退</w:t>
      </w:r>
    </w:p>
    <w:p>
      <w:pPr>
        <w:pStyle w:val="16"/>
        <w:numPr>
          <w:ilvl w:val="0"/>
          <w:numId w:val="104"/>
        </w:numPr>
        <w:tabs>
          <w:tab w:val="left" w:pos="839"/>
        </w:tabs>
        <w:rPr>
          <w:rFonts w:hint="eastAsia"/>
        </w:rPr>
      </w:pPr>
      <w:r>
        <w:rPr>
          <w:rFonts w:hint="eastAsia"/>
        </w:rPr>
        <w:t>具有功能明显减退之b）、c）两项者；</w:t>
      </w:r>
    </w:p>
    <w:p>
      <w:pPr>
        <w:pStyle w:val="16"/>
        <w:rPr>
          <w:rFonts w:hint="eastAsia"/>
        </w:rPr>
      </w:pPr>
      <w:r>
        <w:rPr>
          <w:rFonts w:hint="eastAsia"/>
        </w:rPr>
        <w:t>无典型临床症状。</w:t>
      </w:r>
    </w:p>
    <w:p>
      <w:pPr>
        <w:pStyle w:val="15"/>
        <w:wordWrap/>
        <w:spacing w:before="120" w:beforeLines="50" w:after="120" w:afterLines="50" w:line="312" w:lineRule="auto"/>
        <w:ind w:left="0"/>
        <w:rPr>
          <w:rFonts w:hint="eastAsia"/>
        </w:rPr>
      </w:pPr>
      <w:r>
        <w:rPr>
          <w:rFonts w:hint="eastAsia"/>
        </w:rPr>
        <w:t>生殖功能损害分度</w:t>
      </w:r>
    </w:p>
    <w:p>
      <w:pPr>
        <w:pStyle w:val="16"/>
        <w:numPr>
          <w:ilvl w:val="0"/>
          <w:numId w:val="105"/>
        </w:numPr>
        <w:rPr>
          <w:rFonts w:hint="eastAsia"/>
        </w:rPr>
      </w:pPr>
      <w:r>
        <w:rPr>
          <w:rFonts w:hint="eastAsia"/>
        </w:rPr>
        <w:t>重度  精液中精子缺如；</w:t>
      </w:r>
    </w:p>
    <w:p>
      <w:pPr>
        <w:pStyle w:val="16"/>
        <w:numPr>
          <w:ilvl w:val="0"/>
          <w:numId w:val="105"/>
        </w:numPr>
        <w:spacing w:line="256" w:lineRule="exact"/>
        <w:rPr>
          <w:rFonts w:hint="eastAsia"/>
        </w:rPr>
      </w:pPr>
      <w:r>
        <w:rPr>
          <w:rFonts w:hint="eastAsia"/>
        </w:rPr>
        <w:t>轻度  精液中精子数＜500万/mL，或者异常精子＞30%，或者死精子与运动能力很弱的精子＞30%。</w:t>
      </w:r>
    </w:p>
    <w:p>
      <w:pPr>
        <w:pStyle w:val="15"/>
        <w:wordWrap/>
        <w:spacing w:before="120" w:beforeLines="0" w:after="120" w:afterLines="0" w:line="256" w:lineRule="exact"/>
        <w:ind w:left="0"/>
        <w:rPr>
          <w:rFonts w:hint="eastAsia"/>
        </w:rPr>
      </w:pPr>
      <w:r>
        <w:rPr>
          <w:rFonts w:hint="eastAsia"/>
        </w:rPr>
        <w:t>尿道狭窄分度</w:t>
      </w:r>
    </w:p>
    <w:p>
      <w:pPr>
        <w:pStyle w:val="18"/>
        <w:wordWrap/>
        <w:spacing w:before="120" w:after="120" w:line="256" w:lineRule="exact"/>
        <w:rPr>
          <w:rFonts w:hint="eastAsia"/>
        </w:rPr>
      </w:pPr>
      <w:r>
        <w:rPr>
          <w:rFonts w:hint="eastAsia"/>
        </w:rPr>
        <w:t>尿道重度狭窄</w:t>
      </w:r>
    </w:p>
    <w:p>
      <w:pPr>
        <w:pStyle w:val="16"/>
        <w:numPr>
          <w:ilvl w:val="0"/>
          <w:numId w:val="106"/>
        </w:numPr>
        <w:tabs>
          <w:tab w:val="left" w:pos="839"/>
        </w:tabs>
        <w:spacing w:line="256" w:lineRule="exact"/>
        <w:rPr>
          <w:rFonts w:hint="eastAsia" w:hAnsi="宋体"/>
          <w:szCs w:val="21"/>
        </w:rPr>
      </w:pPr>
      <w:r>
        <w:rPr>
          <w:rFonts w:hint="eastAsia" w:hAnsi="宋体" w:cs="仿宋_GB2312"/>
          <w:szCs w:val="21"/>
        </w:rPr>
        <w:t>临床表现为尿不成线、滴沥，伴有尿急、尿不尽或者遗尿等症状；</w:t>
      </w:r>
    </w:p>
    <w:p>
      <w:pPr>
        <w:pStyle w:val="16"/>
        <w:spacing w:line="256" w:lineRule="exact"/>
        <w:rPr>
          <w:rFonts w:hint="eastAsia" w:hAnsi="宋体"/>
        </w:rPr>
      </w:pPr>
      <w:r>
        <w:rPr>
          <w:rFonts w:hint="eastAsia" w:hAnsi="宋体" w:cs="仿宋_GB2312"/>
          <w:szCs w:val="21"/>
        </w:rPr>
        <w:t>尿道造影检查显示尿道明显狭窄，</w:t>
      </w:r>
      <w:r>
        <w:rPr>
          <w:rFonts w:hint="eastAsia" w:hAnsi="宋体"/>
          <w:szCs w:val="21"/>
        </w:rPr>
        <w:t>狭窄部位</w:t>
      </w:r>
      <w:r>
        <w:rPr>
          <w:rFonts w:hAnsi="宋体"/>
          <w:szCs w:val="21"/>
        </w:rPr>
        <w:t>尿道内径小于正常管径</w:t>
      </w:r>
      <w:r>
        <w:rPr>
          <w:rFonts w:hint="eastAsia" w:hAnsi="宋体"/>
        </w:rPr>
        <w:t>的</w:t>
      </w:r>
      <w:r>
        <w:rPr>
          <w:rFonts w:hAnsi="宋体"/>
        </w:rPr>
        <w:t>1/</w:t>
      </w:r>
      <w:r>
        <w:rPr>
          <w:rFonts w:hint="eastAsia" w:hAnsi="宋体"/>
        </w:rPr>
        <w:t>3；</w:t>
      </w:r>
    </w:p>
    <w:p>
      <w:pPr>
        <w:pStyle w:val="16"/>
        <w:spacing w:line="256" w:lineRule="exact"/>
        <w:rPr>
          <w:rFonts w:hint="eastAsia" w:hAnsi="宋体"/>
        </w:rPr>
      </w:pPr>
      <w:r>
        <w:rPr>
          <w:rFonts w:hint="eastAsia" w:hAnsi="宋体" w:cs="仿宋_GB2312"/>
          <w:szCs w:val="21"/>
        </w:rPr>
        <w:t>超声检查示膀胱残余尿阳性；</w:t>
      </w:r>
    </w:p>
    <w:p>
      <w:pPr>
        <w:pStyle w:val="16"/>
        <w:spacing w:line="256" w:lineRule="exact"/>
        <w:rPr>
          <w:rFonts w:hint="eastAsia" w:hAnsi="宋体"/>
        </w:rPr>
      </w:pPr>
      <w:r>
        <w:rPr>
          <w:rFonts w:hint="eastAsia" w:hAnsi="宋体" w:cs="仿宋_GB2312"/>
          <w:szCs w:val="21"/>
        </w:rPr>
        <w:t>尿流动力学检查示严重排尿功能障碍；</w:t>
      </w:r>
    </w:p>
    <w:p>
      <w:pPr>
        <w:pStyle w:val="16"/>
        <w:spacing w:line="256" w:lineRule="exact"/>
        <w:rPr>
          <w:rFonts w:hint="eastAsia" w:hAnsi="宋体"/>
        </w:rPr>
      </w:pPr>
      <w:r>
        <w:rPr>
          <w:rFonts w:hint="eastAsia" w:hAnsi="宋体" w:cs="仿宋_GB2312"/>
          <w:szCs w:val="21"/>
        </w:rPr>
        <w:t>经常行尿道扩张效果不佳，有尿道成形术适应证。</w:t>
      </w:r>
    </w:p>
    <w:p>
      <w:pPr>
        <w:pStyle w:val="18"/>
        <w:wordWrap/>
        <w:spacing w:before="120" w:after="120" w:line="256" w:lineRule="exact"/>
        <w:rPr>
          <w:rFonts w:hint="eastAsia"/>
        </w:rPr>
      </w:pPr>
      <w:r>
        <w:rPr>
          <w:rFonts w:hint="eastAsia"/>
        </w:rPr>
        <w:t>尿道轻度狭窄</w:t>
      </w:r>
    </w:p>
    <w:p>
      <w:pPr>
        <w:pStyle w:val="16"/>
        <w:numPr>
          <w:ilvl w:val="0"/>
          <w:numId w:val="107"/>
        </w:numPr>
        <w:tabs>
          <w:tab w:val="left" w:pos="839"/>
        </w:tabs>
        <w:spacing w:line="256" w:lineRule="exact"/>
        <w:rPr>
          <w:rFonts w:hint="eastAsia" w:hAnsi="宋体"/>
          <w:szCs w:val="21"/>
        </w:rPr>
      </w:pPr>
      <w:r>
        <w:rPr>
          <w:rFonts w:hint="eastAsia" w:hAnsi="宋体" w:cs="仿宋_GB2312"/>
          <w:szCs w:val="21"/>
        </w:rPr>
        <w:t>临床表现为尿流变细、尿不尽等；</w:t>
      </w:r>
    </w:p>
    <w:p>
      <w:pPr>
        <w:pStyle w:val="16"/>
        <w:spacing w:line="256" w:lineRule="exact"/>
        <w:rPr>
          <w:rFonts w:hint="eastAsia"/>
        </w:rPr>
      </w:pPr>
      <w:r>
        <w:rPr>
          <w:rFonts w:hint="eastAsia"/>
        </w:rPr>
        <w:t>尿道造影检查示尿道狭窄，狭窄部位</w:t>
      </w:r>
      <w:r>
        <w:t>尿道内径小于正常管径</w:t>
      </w:r>
      <w:r>
        <w:rPr>
          <w:rFonts w:hint="eastAsia"/>
        </w:rPr>
        <w:t>的2</w:t>
      </w:r>
      <w:r>
        <w:t>/</w:t>
      </w:r>
      <w:r>
        <w:rPr>
          <w:rFonts w:hint="eastAsia"/>
        </w:rPr>
        <w:t>3；</w:t>
      </w:r>
    </w:p>
    <w:p>
      <w:pPr>
        <w:pStyle w:val="16"/>
        <w:spacing w:line="256" w:lineRule="exact"/>
        <w:rPr>
          <w:rFonts w:hint="eastAsia"/>
        </w:rPr>
      </w:pPr>
      <w:r>
        <w:rPr>
          <w:rFonts w:hint="eastAsia"/>
        </w:rPr>
        <w:t>超声检查示膀胱残余尿阳性；</w:t>
      </w:r>
    </w:p>
    <w:p>
      <w:pPr>
        <w:pStyle w:val="16"/>
        <w:spacing w:line="256" w:lineRule="exact"/>
        <w:rPr>
          <w:rFonts w:hint="eastAsia"/>
        </w:rPr>
      </w:pPr>
      <w:r>
        <w:rPr>
          <w:rFonts w:hint="eastAsia"/>
        </w:rPr>
        <w:t>尿流动力学检查示排尿功能障碍；</w:t>
      </w:r>
    </w:p>
    <w:p>
      <w:pPr>
        <w:pStyle w:val="16"/>
        <w:spacing w:line="256" w:lineRule="exact"/>
        <w:rPr>
          <w:rFonts w:hint="eastAsia"/>
        </w:rPr>
      </w:pPr>
      <w:r>
        <w:rPr>
          <w:rFonts w:hint="eastAsia"/>
        </w:rPr>
        <w:t>有尿道扩张治疗适应证</w:t>
      </w:r>
      <w:r>
        <w:t>。</w:t>
      </w:r>
    </w:p>
    <w:p>
      <w:pPr>
        <w:pStyle w:val="17"/>
        <w:numPr>
          <w:numId w:val="0"/>
        </w:numPr>
        <w:wordWrap/>
        <w:spacing w:line="256" w:lineRule="exact"/>
        <w:rPr>
          <w:rFonts w:hint="eastAsia" w:ascii="华文楷体" w:hAnsi="华文楷体" w:eastAsia="华文楷体"/>
          <w:sz w:val="18"/>
          <w:szCs w:val="18"/>
        </w:rPr>
      </w:pPr>
      <w:r>
        <w:rPr>
          <w:rFonts w:hint="eastAsia" w:ascii="华文楷体" w:hAnsi="华文楷体" w:eastAsia="华文楷体"/>
          <w:sz w:val="18"/>
          <w:szCs w:val="18"/>
        </w:rPr>
        <w:t xml:space="preserve">    注：尿道狭窄应以尿道造影等客观检查为主，结合临床表现综合评判。</w:t>
      </w:r>
    </w:p>
    <w:p>
      <w:pPr>
        <w:pStyle w:val="15"/>
        <w:wordWrap/>
        <w:spacing w:before="120" w:beforeLines="50" w:after="120" w:afterLines="50" w:line="256" w:lineRule="exact"/>
        <w:ind w:left="0"/>
        <w:rPr>
          <w:rFonts w:hint="eastAsia"/>
        </w:rPr>
      </w:pPr>
      <w:r>
        <w:rPr>
          <w:rFonts w:hint="eastAsia"/>
        </w:rPr>
        <w:t>股骨头坏死分期</w:t>
      </w:r>
    </w:p>
    <w:p>
      <w:pPr>
        <w:pStyle w:val="16"/>
        <w:numPr>
          <w:ilvl w:val="0"/>
          <w:numId w:val="108"/>
        </w:numPr>
        <w:tabs>
          <w:tab w:val="left" w:pos="839"/>
        </w:tabs>
        <w:spacing w:line="256" w:lineRule="exact"/>
        <w:rPr>
          <w:rFonts w:hint="eastAsia"/>
        </w:rPr>
      </w:pPr>
      <w:r>
        <w:rPr>
          <w:rFonts w:hint="eastAsia"/>
        </w:rPr>
        <w:t>股骨头坏死1期（超微结构变异期）  X线片显示股骨头承载系统中的骨小梁结构排列紊乱、断裂，出现股骨头边缘毛糙。临床上伴有或不伴有局限性轻微疼痛；</w:t>
      </w:r>
    </w:p>
    <w:p>
      <w:pPr>
        <w:pStyle w:val="16"/>
        <w:spacing w:line="256" w:lineRule="exact"/>
        <w:rPr>
          <w:rFonts w:hint="eastAsia"/>
        </w:rPr>
      </w:pPr>
      <w:r>
        <w:rPr>
          <w:rFonts w:hint="eastAsia"/>
        </w:rPr>
        <w:t>股骨头坏死2期（有感期）  X线片显示股骨头内部出现小的囊变影，囊变区周围的环区密度不均，骨小梁结构紊乱、稀疏或模糊，也可出现细小的塌陷，塌陷面积可达10%</w:t>
      </w:r>
      <w:r>
        <w:rPr>
          <w:rFonts w:hint="eastAsia" w:hAnsi="宋体" w:cs="宋体"/>
        </w:rPr>
        <w:t>～</w:t>
      </w:r>
      <w:r>
        <w:rPr>
          <w:rFonts w:hint="eastAsia"/>
        </w:rPr>
        <w:t>30%。临床伴有疼痛明显、活动轻微受限等；</w:t>
      </w:r>
    </w:p>
    <w:p>
      <w:pPr>
        <w:pStyle w:val="16"/>
        <w:spacing w:line="256" w:lineRule="exact"/>
        <w:rPr>
          <w:rFonts w:hint="eastAsia"/>
        </w:rPr>
      </w:pPr>
      <w:r>
        <w:rPr>
          <w:rFonts w:hint="eastAsia"/>
        </w:rPr>
        <w:t>股骨头坏死3期（坏死期）  X线片显示股骨头形态改变，可出现边缘不完整、虫蚀状或扁平等形状，部分骨小梁结构消失，骨密度很不均匀，髋臼与股骨头间隙增宽或变窄，也可有骨赘形成。</w:t>
      </w:r>
      <w:r>
        <w:fldChar w:fldCharType="begin"/>
      </w:r>
      <w:r>
        <w:instrText xml:space="preserve"> HYPERLINK "http://www.baike.com/wiki/%E4%B8%B4%E5%BA%8A" \o "临床" \t "_blank" </w:instrText>
      </w:r>
      <w:r>
        <w:fldChar w:fldCharType="separate"/>
      </w:r>
      <w:r>
        <w:rPr>
          <w:rStyle w:val="7"/>
          <w:rFonts w:hint="eastAsia"/>
          <w:color w:val="auto"/>
          <w:szCs w:val="24"/>
          <w:u w:val="none"/>
          <w:lang w:val="en-US" w:eastAsia="zh-CN"/>
        </w:rPr>
        <w:t>临床</w:t>
      </w:r>
      <w:r>
        <w:fldChar w:fldCharType="end"/>
      </w:r>
      <w:r>
        <w:rPr>
          <w:rFonts w:hint="eastAsia"/>
        </w:rPr>
        <w:t>表现为疼痛、间歇性跛行、关节活动受限以及患肢出现不同程度的缩短等；</w:t>
      </w:r>
    </w:p>
    <w:p>
      <w:pPr>
        <w:pStyle w:val="16"/>
        <w:spacing w:line="256" w:lineRule="exact"/>
        <w:rPr>
          <w:rFonts w:hint="eastAsia"/>
        </w:rPr>
      </w:pPr>
      <w:r>
        <w:rPr>
          <w:rFonts w:hint="eastAsia"/>
        </w:rPr>
        <w:t>股骨头坏死4期（致残期）  股骨头的形态、结构明显改变，出现大面积不规则塌陷或变平，骨小梁结构变异，髋臼与股骨头间隙消失等。临床表现为疼痛、功能障碍、僵直不能行走，出现髋关节脱位或半脱位，可致相应膝关节活动部分受限。</w:t>
      </w:r>
    </w:p>
    <w:p>
      <w:pPr>
        <w:pStyle w:val="10"/>
        <w:spacing w:line="256" w:lineRule="exact"/>
        <w:ind w:firstLine="360"/>
        <w:rPr>
          <w:rFonts w:hint="eastAsia" w:ascii="华文楷体" w:hAnsi="华文楷体" w:eastAsia="华文楷体"/>
          <w:sz w:val="18"/>
          <w:szCs w:val="18"/>
        </w:rPr>
      </w:pPr>
      <w:r>
        <w:rPr>
          <w:rFonts w:hint="eastAsia" w:ascii="华文楷体" w:hAnsi="华文楷体" w:eastAsia="华文楷体"/>
          <w:sz w:val="18"/>
          <w:szCs w:val="18"/>
        </w:rPr>
        <w:t>注：本标准股骨头坏死是指股骨头坏死3期或者4期。若股骨头坏死影像学表现尚未达股骨头坏死3期，但临床已行股骨头置换手术，则按四肢大关节人工关节置换术后鉴定致残程度等级。</w:t>
      </w:r>
    </w:p>
    <w:p>
      <w:pPr>
        <w:pStyle w:val="15"/>
        <w:wordWrap/>
        <w:spacing w:before="120" w:beforeLines="50" w:after="120" w:afterLines="50" w:line="256" w:lineRule="exact"/>
        <w:ind w:left="0"/>
        <w:rPr>
          <w:rFonts w:hint="eastAsia"/>
        </w:rPr>
      </w:pPr>
      <w:r>
        <w:rPr>
          <w:rFonts w:hint="eastAsia"/>
        </w:rPr>
        <w:t>再生障碍性贫血</w:t>
      </w:r>
    </w:p>
    <w:p>
      <w:pPr>
        <w:pStyle w:val="18"/>
        <w:wordWrap/>
        <w:spacing w:before="120" w:beforeLines="0" w:after="120" w:afterLines="0" w:line="256" w:lineRule="exact"/>
        <w:rPr>
          <w:rFonts w:hint="eastAsia"/>
        </w:rPr>
      </w:pPr>
      <w:r>
        <w:rPr>
          <w:rFonts w:hint="eastAsia"/>
        </w:rPr>
        <w:t>再生障碍性贫血诊断标准</w:t>
      </w:r>
    </w:p>
    <w:p>
      <w:pPr>
        <w:pStyle w:val="16"/>
        <w:numPr>
          <w:ilvl w:val="0"/>
          <w:numId w:val="109"/>
        </w:numPr>
        <w:tabs>
          <w:tab w:val="left" w:pos="420"/>
        </w:tabs>
        <w:spacing w:line="256" w:lineRule="exact"/>
        <w:rPr>
          <w:rFonts w:hAnsi="宋体" w:cs="宋体"/>
          <w:szCs w:val="21"/>
        </w:rPr>
      </w:pPr>
      <w:r>
        <w:rPr>
          <w:rFonts w:hint="eastAsia" w:hAnsi="宋体" w:cs="宋体"/>
          <w:szCs w:val="21"/>
        </w:rPr>
        <w:t xml:space="preserve"> </w:t>
      </w:r>
      <w:r>
        <w:rPr>
          <w:rFonts w:hAnsi="宋体" w:cs="宋体"/>
          <w:szCs w:val="21"/>
        </w:rPr>
        <w:t>血常规检查</w:t>
      </w:r>
      <w:r>
        <w:rPr>
          <w:rFonts w:hint="eastAsia" w:hAnsi="宋体" w:cs="宋体"/>
          <w:szCs w:val="21"/>
        </w:rPr>
        <w:t xml:space="preserve">  </w:t>
      </w:r>
      <w:r>
        <w:rPr>
          <w:rFonts w:hAnsi="宋体" w:cs="宋体"/>
          <w:szCs w:val="21"/>
        </w:rPr>
        <w:t>全血细胞减少，校正后的网织红细胞比例＜</w:t>
      </w:r>
      <w:r>
        <w:rPr>
          <w:rFonts w:hint="eastAsia" w:hAnsi="宋体" w:cs="宋体"/>
          <w:szCs w:val="21"/>
        </w:rPr>
        <w:t>1</w:t>
      </w:r>
      <w:r>
        <w:rPr>
          <w:rFonts w:hAnsi="宋体" w:cs="宋体"/>
          <w:szCs w:val="21"/>
        </w:rPr>
        <w:t>%，淋巴细胞比例增高。至少符合以下三项中</w:t>
      </w:r>
      <w:r>
        <w:rPr>
          <w:rFonts w:hint="eastAsia" w:hAnsi="宋体" w:cs="宋体"/>
          <w:szCs w:val="21"/>
        </w:rPr>
        <w:t>的</w:t>
      </w:r>
      <w:r>
        <w:rPr>
          <w:rFonts w:hAnsi="宋体" w:cs="宋体"/>
          <w:szCs w:val="21"/>
        </w:rPr>
        <w:t>两项：Hb＜100g/L；BPC＜50×10</w:t>
      </w:r>
      <w:r>
        <w:rPr>
          <w:rFonts w:hAnsi="宋体" w:cs="宋体"/>
          <w:szCs w:val="21"/>
          <w:vertAlign w:val="superscript"/>
        </w:rPr>
        <w:t>9</w:t>
      </w:r>
      <w:r>
        <w:rPr>
          <w:rFonts w:hAnsi="宋体" w:cs="宋体"/>
          <w:szCs w:val="21"/>
        </w:rPr>
        <w:t>/L；中性粒细胞绝对值(ANC)＜1.5×10</w:t>
      </w:r>
      <w:r>
        <w:rPr>
          <w:rFonts w:hAnsi="宋体" w:cs="宋体"/>
          <w:szCs w:val="21"/>
          <w:vertAlign w:val="superscript"/>
        </w:rPr>
        <w:t>9</w:t>
      </w:r>
      <w:r>
        <w:rPr>
          <w:rFonts w:hAnsi="宋体" w:cs="宋体"/>
          <w:szCs w:val="21"/>
        </w:rPr>
        <w:t>/L。</w:t>
      </w:r>
    </w:p>
    <w:p>
      <w:pPr>
        <w:pStyle w:val="16"/>
        <w:numPr>
          <w:numId w:val="0"/>
        </w:numPr>
        <w:tabs>
          <w:tab w:val="left" w:pos="420"/>
        </w:tabs>
        <w:spacing w:line="256" w:lineRule="exact"/>
        <w:ind w:left="840" w:leftChars="200" w:hanging="420" w:hangingChars="200"/>
        <w:rPr>
          <w:rFonts w:hint="eastAsia"/>
        </w:rPr>
      </w:pPr>
      <w:r>
        <w:rPr>
          <w:rFonts w:hint="eastAsia" w:hAnsi="宋体" w:cs="宋体"/>
          <w:szCs w:val="21"/>
        </w:rPr>
        <w:t xml:space="preserve">b)  </w:t>
      </w:r>
      <w:r>
        <w:rPr>
          <w:rFonts w:hAnsi="宋体" w:cs="宋体"/>
          <w:szCs w:val="21"/>
        </w:rPr>
        <w:t>骨髓穿刺</w:t>
      </w:r>
      <w:r>
        <w:rPr>
          <w:rFonts w:hint="eastAsia" w:hAnsi="宋体" w:cs="宋体"/>
          <w:szCs w:val="21"/>
        </w:rPr>
        <w:t xml:space="preserve">  </w:t>
      </w:r>
      <w:r>
        <w:rPr>
          <w:rFonts w:hAnsi="宋体" w:cs="宋体"/>
          <w:szCs w:val="21"/>
        </w:rPr>
        <w:t>多部位</w:t>
      </w:r>
      <w:r>
        <w:rPr>
          <w:rFonts w:hint="eastAsia" w:hAnsi="宋体" w:cs="宋体"/>
          <w:szCs w:val="21"/>
        </w:rPr>
        <w:t>（</w:t>
      </w:r>
      <w:r>
        <w:rPr>
          <w:rFonts w:hAnsi="宋体" w:cs="宋体"/>
          <w:szCs w:val="21"/>
        </w:rPr>
        <w:t>不同平面</w:t>
      </w:r>
      <w:r>
        <w:rPr>
          <w:rFonts w:hint="eastAsia" w:hAnsi="宋体" w:cs="宋体"/>
          <w:szCs w:val="21"/>
        </w:rPr>
        <w:t>）</w:t>
      </w:r>
      <w:r>
        <w:rPr>
          <w:rFonts w:hAnsi="宋体" w:cs="宋体"/>
          <w:szCs w:val="21"/>
        </w:rPr>
        <w:t>骨髓增生减低或重度减低；小粒空虚，非造血细胞</w:t>
      </w:r>
      <w:r>
        <w:rPr>
          <w:rFonts w:hint="eastAsia" w:hAnsi="宋体" w:cs="宋体"/>
          <w:szCs w:val="21"/>
        </w:rPr>
        <w:t>（</w:t>
      </w:r>
      <w:r>
        <w:rPr>
          <w:rFonts w:hAnsi="宋体" w:cs="宋体"/>
          <w:szCs w:val="21"/>
        </w:rPr>
        <w:t>淋巴细胞、网状细胞、浆细胞、肥大细胞等</w:t>
      </w:r>
      <w:r>
        <w:rPr>
          <w:rFonts w:hint="eastAsia" w:hAnsi="宋体" w:cs="宋体"/>
          <w:szCs w:val="21"/>
        </w:rPr>
        <w:t>）</w:t>
      </w:r>
      <w:r>
        <w:rPr>
          <w:rFonts w:hAnsi="宋体" w:cs="宋体"/>
          <w:szCs w:val="21"/>
        </w:rPr>
        <w:t>比例增高；巨核细胞明显减少或缺如；红系、粒系细胞均明显减少。</w:t>
      </w:r>
    </w:p>
    <w:p>
      <w:pPr>
        <w:pStyle w:val="16"/>
        <w:numPr>
          <w:numId w:val="0"/>
        </w:numPr>
        <w:spacing w:line="256" w:lineRule="exact"/>
        <w:ind w:left="840" w:leftChars="200" w:hanging="420" w:hangingChars="200"/>
        <w:rPr>
          <w:rFonts w:hint="eastAsia"/>
        </w:rPr>
      </w:pPr>
      <w:r>
        <w:rPr>
          <w:rFonts w:hint="eastAsia" w:hAnsi="宋体" w:cs="宋体"/>
          <w:szCs w:val="21"/>
        </w:rPr>
        <w:t xml:space="preserve">c)  </w:t>
      </w:r>
      <w:r>
        <w:rPr>
          <w:rFonts w:hAnsi="宋体" w:cs="宋体"/>
          <w:szCs w:val="21"/>
        </w:rPr>
        <w:t>骨髓活检</w:t>
      </w:r>
      <w:r>
        <w:rPr>
          <w:rFonts w:hint="eastAsia" w:hAnsi="宋体" w:cs="宋体"/>
          <w:szCs w:val="21"/>
        </w:rPr>
        <w:t>（</w:t>
      </w:r>
      <w:r>
        <w:rPr>
          <w:rFonts w:hAnsi="宋体" w:cs="宋体"/>
          <w:szCs w:val="21"/>
        </w:rPr>
        <w:t>髂骨</w:t>
      </w:r>
      <w:r>
        <w:rPr>
          <w:rFonts w:hint="eastAsia" w:hAnsi="宋体" w:cs="宋体"/>
          <w:szCs w:val="21"/>
        </w:rPr>
        <w:t xml:space="preserve">）  </w:t>
      </w:r>
      <w:r>
        <w:rPr>
          <w:rFonts w:hAnsi="宋体" w:cs="宋体"/>
          <w:szCs w:val="21"/>
        </w:rPr>
        <w:t>全切片增生减低，造血组织减少，脂肪组织和</w:t>
      </w:r>
      <w:r>
        <w:rPr>
          <w:rFonts w:hint="eastAsia" w:hAnsi="宋体" w:cs="宋体"/>
          <w:szCs w:val="21"/>
        </w:rPr>
        <w:t>（</w:t>
      </w:r>
      <w:r>
        <w:rPr>
          <w:rFonts w:hAnsi="宋体" w:cs="宋体"/>
          <w:szCs w:val="21"/>
        </w:rPr>
        <w:t>或</w:t>
      </w:r>
      <w:r>
        <w:rPr>
          <w:rFonts w:hint="eastAsia" w:hAnsi="宋体" w:cs="宋体"/>
          <w:szCs w:val="21"/>
        </w:rPr>
        <w:t>）</w:t>
      </w:r>
      <w:r>
        <w:rPr>
          <w:rFonts w:hAnsi="宋体" w:cs="宋体"/>
          <w:szCs w:val="21"/>
        </w:rPr>
        <w:t>非造血细胞增多，网硬蛋白不增加，无异常细胞。</w:t>
      </w:r>
    </w:p>
    <w:p>
      <w:pPr>
        <w:pStyle w:val="16"/>
        <w:numPr>
          <w:numId w:val="0"/>
        </w:numPr>
        <w:tabs>
          <w:tab w:val="left" w:pos="851"/>
        </w:tabs>
        <w:spacing w:line="256" w:lineRule="exact"/>
        <w:ind w:firstLine="420" w:firstLineChars="200"/>
        <w:rPr>
          <w:rFonts w:hint="eastAsia"/>
        </w:rPr>
      </w:pPr>
      <w:r>
        <w:rPr>
          <w:rFonts w:hint="eastAsia" w:hAnsi="宋体" w:cs="宋体"/>
          <w:szCs w:val="21"/>
        </w:rPr>
        <w:t xml:space="preserve">d)  </w:t>
      </w:r>
      <w:r>
        <w:rPr>
          <w:rFonts w:hAnsi="宋体" w:cs="宋体"/>
          <w:szCs w:val="21"/>
        </w:rPr>
        <w:t>除外检查</w:t>
      </w:r>
      <w:r>
        <w:rPr>
          <w:rFonts w:hint="eastAsia" w:hAnsi="宋体" w:cs="宋体"/>
          <w:szCs w:val="21"/>
        </w:rPr>
        <w:t xml:space="preserve">  </w:t>
      </w:r>
      <w:r>
        <w:rPr>
          <w:rFonts w:hAnsi="宋体" w:cs="宋体"/>
          <w:szCs w:val="21"/>
        </w:rPr>
        <w:t>必须除外先天性和其他获得性、继发性</w:t>
      </w:r>
      <w:r>
        <w:rPr>
          <w:rFonts w:hint="eastAsia" w:hAnsi="宋体" w:cs="宋体"/>
          <w:szCs w:val="21"/>
        </w:rPr>
        <w:t>骨髓衰竭</w:t>
      </w:r>
      <w:r>
        <w:rPr>
          <w:rFonts w:hAnsi="宋体" w:cs="宋体"/>
          <w:szCs w:val="21"/>
        </w:rPr>
        <w:t>性疾病。</w:t>
      </w:r>
    </w:p>
    <w:p>
      <w:pPr>
        <w:pStyle w:val="18"/>
        <w:wordWrap/>
        <w:spacing w:before="120" w:after="120" w:line="256" w:lineRule="exact"/>
        <w:rPr>
          <w:rFonts w:hint="eastAsia"/>
        </w:rPr>
      </w:pPr>
      <w:r>
        <w:rPr>
          <w:rFonts w:hint="eastAsia"/>
        </w:rPr>
        <w:t>重型再生障碍性贫血</w:t>
      </w:r>
    </w:p>
    <w:p>
      <w:pPr>
        <w:pStyle w:val="17"/>
        <w:wordWrap/>
        <w:spacing w:line="256" w:lineRule="exact"/>
        <w:ind w:left="0" w:firstLine="420"/>
        <w:rPr>
          <w:rFonts w:hint="eastAsia" w:ascii="华文楷体" w:hAnsi="华文楷体" w:eastAsia="华文楷体"/>
          <w:sz w:val="18"/>
        </w:rPr>
      </w:pPr>
      <w:r>
        <w:rPr>
          <w:rFonts w:hAnsi="宋体" w:cs="宋体"/>
          <w:kern w:val="0"/>
        </w:rPr>
        <w:t>骨髓细胞增生程度＜25%正常</w:t>
      </w:r>
      <w:r>
        <w:rPr>
          <w:rFonts w:hint="eastAsia" w:hAnsi="宋体" w:cs="宋体"/>
          <w:kern w:val="0"/>
        </w:rPr>
        <w:t>值</w:t>
      </w:r>
      <w:r>
        <w:rPr>
          <w:rFonts w:hAnsi="宋体" w:cs="宋体"/>
          <w:kern w:val="0"/>
        </w:rPr>
        <w:t>；</w:t>
      </w:r>
      <w:r>
        <w:rPr>
          <w:rFonts w:hint="eastAsia" w:hAnsi="宋体" w:cs="宋体"/>
          <w:kern w:val="0"/>
        </w:rPr>
        <w:t>若</w:t>
      </w:r>
      <w:r>
        <w:rPr>
          <w:rFonts w:hAnsi="宋体" w:cs="宋体"/>
          <w:kern w:val="0"/>
        </w:rPr>
        <w:t>≥25%但＜50%，则残存造血细胞应＜30%。</w:t>
      </w:r>
    </w:p>
    <w:p>
      <w:pPr>
        <w:pStyle w:val="17"/>
        <w:wordWrap/>
        <w:spacing w:line="256" w:lineRule="exact"/>
        <w:ind w:left="0" w:firstLine="420"/>
        <w:rPr>
          <w:rFonts w:hint="eastAsia" w:ascii="华文楷体" w:hAnsi="华文楷体" w:eastAsia="华文楷体"/>
          <w:sz w:val="18"/>
        </w:rPr>
      </w:pPr>
      <w:r>
        <w:rPr>
          <w:rFonts w:hAnsi="宋体" w:cs="宋体"/>
          <w:kern w:val="0"/>
        </w:rPr>
        <w:t>血常规需具备下列三项中的两项：ANC＜0.5×10</w:t>
      </w:r>
      <w:r>
        <w:rPr>
          <w:rFonts w:hAnsi="宋体" w:cs="宋体"/>
          <w:kern w:val="0"/>
          <w:vertAlign w:val="superscript"/>
        </w:rPr>
        <w:t>9</w:t>
      </w:r>
      <w:r>
        <w:rPr>
          <w:rFonts w:hAnsi="宋体" w:cs="宋体"/>
          <w:kern w:val="0"/>
        </w:rPr>
        <w:t>/L；校正的网织红细胞＜1%或绝对值＜20×10</w:t>
      </w:r>
      <w:r>
        <w:rPr>
          <w:rFonts w:hAnsi="宋体" w:cs="宋体"/>
          <w:kern w:val="0"/>
          <w:vertAlign w:val="superscript"/>
        </w:rPr>
        <w:t>9</w:t>
      </w:r>
      <w:r>
        <w:rPr>
          <w:rFonts w:hAnsi="宋体" w:cs="宋体"/>
          <w:kern w:val="0"/>
        </w:rPr>
        <w:t>/L；BPC＜20×10</w:t>
      </w:r>
      <w:r>
        <w:rPr>
          <w:rFonts w:hAnsi="宋体" w:cs="宋体"/>
          <w:kern w:val="0"/>
          <w:vertAlign w:val="superscript"/>
        </w:rPr>
        <w:t>9</w:t>
      </w:r>
      <w:r>
        <w:rPr>
          <w:rFonts w:hAnsi="宋体" w:cs="宋体"/>
          <w:kern w:val="0"/>
        </w:rPr>
        <w:t>/L。</w:t>
      </w:r>
    </w:p>
    <w:p>
      <w:pPr>
        <w:pStyle w:val="10"/>
        <w:spacing w:line="256" w:lineRule="exact"/>
        <w:ind w:firstLine="360"/>
        <w:rPr>
          <w:rFonts w:hint="eastAsia" w:ascii="华文楷体" w:hAnsi="华文楷体" w:eastAsia="华文楷体"/>
          <w:sz w:val="18"/>
          <w:szCs w:val="18"/>
        </w:rPr>
      </w:pPr>
      <w:r>
        <w:rPr>
          <w:rFonts w:hint="eastAsia" w:ascii="华文楷体" w:hAnsi="华文楷体" w:eastAsia="华文楷体"/>
          <w:sz w:val="18"/>
          <w:szCs w:val="18"/>
        </w:rPr>
        <w:t>注：</w:t>
      </w:r>
      <w:r>
        <w:rPr>
          <w:rFonts w:ascii="华文楷体" w:hAnsi="华文楷体" w:eastAsia="华文楷体"/>
          <w:sz w:val="18"/>
          <w:szCs w:val="18"/>
        </w:rPr>
        <w:t>若ANC＜0.2×10</w:t>
      </w:r>
      <w:r>
        <w:rPr>
          <w:rFonts w:ascii="华文楷体" w:hAnsi="华文楷体" w:eastAsia="华文楷体"/>
          <w:sz w:val="18"/>
          <w:szCs w:val="18"/>
          <w:vertAlign w:val="superscript"/>
        </w:rPr>
        <w:t>9</w:t>
      </w:r>
      <w:r>
        <w:rPr>
          <w:rFonts w:ascii="华文楷体" w:hAnsi="华文楷体" w:eastAsia="华文楷体"/>
          <w:sz w:val="18"/>
          <w:szCs w:val="18"/>
        </w:rPr>
        <w:t>/L为极重型</w:t>
      </w:r>
      <w:r>
        <w:rPr>
          <w:rFonts w:hint="eastAsia" w:ascii="华文楷体" w:hAnsi="华文楷体" w:eastAsia="华文楷体"/>
          <w:sz w:val="18"/>
          <w:szCs w:val="18"/>
        </w:rPr>
        <w:t>再生障碍性贫血</w:t>
      </w:r>
      <w:r>
        <w:rPr>
          <w:rFonts w:ascii="华文楷体" w:hAnsi="华文楷体" w:eastAsia="华文楷体"/>
          <w:sz w:val="18"/>
          <w:szCs w:val="18"/>
        </w:rPr>
        <w:t>。</w:t>
      </w:r>
    </w:p>
    <w:p>
      <w:pPr>
        <w:pStyle w:val="18"/>
        <w:wordWrap/>
        <w:spacing w:before="120" w:after="120" w:line="256" w:lineRule="exact"/>
        <w:rPr>
          <w:rFonts w:hint="eastAsia"/>
        </w:rPr>
      </w:pPr>
      <w:r>
        <w:rPr>
          <w:rFonts w:hint="eastAsia"/>
        </w:rPr>
        <w:t>非重型再生障碍性贫血</w:t>
      </w:r>
    </w:p>
    <w:p>
      <w:pPr>
        <w:pStyle w:val="10"/>
        <w:spacing w:line="256" w:lineRule="exact"/>
        <w:rPr>
          <w:rFonts w:hint="eastAsia"/>
        </w:rPr>
      </w:pPr>
      <w:r>
        <w:rPr>
          <w:rFonts w:hAnsi="宋体" w:cs="宋体"/>
          <w:szCs w:val="21"/>
        </w:rPr>
        <w:t>未达到重型标准的再生障碍性贫血。</w:t>
      </w:r>
    </w:p>
    <w:p>
      <w:pPr>
        <w:widowControl/>
        <w:jc w:val="left"/>
        <w:rPr>
          <w:rFonts w:ascii="Times New Roman" w:hAnsi="Times New Roman" w:eastAsia="黑体"/>
          <w:kern w:val="0"/>
          <w:sz w:val="28"/>
          <w:szCs w:val="28"/>
        </w:rPr>
      </w:pPr>
      <w:r>
        <w:br w:type="page"/>
      </w:r>
    </w:p>
    <w:p>
      <w:pPr>
        <w:pStyle w:val="14"/>
        <w:ind w:left="2"/>
        <w:rPr>
          <w:rFonts w:hint="eastAsia"/>
        </w:rPr>
      </w:pPr>
      <w:r>
        <w:rPr>
          <w:rFonts w:hint="eastAsia"/>
        </w:rPr>
        <w:br w:type="textWrapping"/>
      </w:r>
      <w:r>
        <w:rPr>
          <w:rFonts w:hint="eastAsia"/>
        </w:rPr>
        <w:t>（资料性附录）</w:t>
      </w:r>
      <w:r>
        <w:rPr>
          <w:rFonts w:hint="eastAsia"/>
        </w:rPr>
        <w:br w:type="textWrapping"/>
      </w:r>
      <w:r>
        <w:rPr>
          <w:rFonts w:hint="eastAsia"/>
        </w:rPr>
        <w:t>常用鉴定技术和方法</w:t>
      </w:r>
    </w:p>
    <w:p>
      <w:pPr>
        <w:pStyle w:val="15"/>
        <w:numPr>
          <w:numId w:val="0"/>
        </w:numPr>
        <w:wordWrap/>
        <w:spacing w:before="120" w:beforeLines="50" w:after="120" w:afterLines="50" w:line="320" w:lineRule="exact"/>
        <w:rPr>
          <w:rFonts w:hint="eastAsia" w:hAnsi="黑体"/>
        </w:rPr>
      </w:pPr>
      <w:r>
        <w:rPr>
          <w:rFonts w:hint="eastAsia" w:hAnsi="黑体"/>
        </w:rPr>
        <w:t>C.1视力障碍检查</w:t>
      </w:r>
    </w:p>
    <w:p>
      <w:pPr>
        <w:pStyle w:val="10"/>
        <w:rPr>
          <w:rFonts w:hint="eastAsia"/>
        </w:rPr>
      </w:pPr>
      <w:r>
        <w:rPr>
          <w:rFonts w:hint="eastAsia"/>
        </w:rPr>
        <w:t>本标准所指的视力均指“矫正视力”。视力记录可采用小数记录或者5分记录两种方式。正常视力是指远距视力经矫正（包括接触镜、针孔镜等）达到0.8以上。</w:t>
      </w:r>
    </w:p>
    <w:p>
      <w:pPr>
        <w:pStyle w:val="10"/>
        <w:rPr>
          <w:rFonts w:hint="eastAsia"/>
        </w:rPr>
      </w:pPr>
      <w:r>
        <w:rPr>
          <w:rFonts w:hint="eastAsia"/>
        </w:rPr>
        <w:t>中心视力好而视野缩小，以注视点为中心，如视野半径小于10度而大于5度者相当于盲目3级，半径小于5度者相当于盲目4级。</w:t>
      </w:r>
    </w:p>
    <w:p>
      <w:pPr>
        <w:pStyle w:val="10"/>
        <w:rPr>
          <w:rFonts w:hint="eastAsia"/>
        </w:rPr>
      </w:pPr>
      <w:r>
        <w:rPr>
          <w:rFonts w:hint="eastAsia"/>
        </w:rPr>
        <w:t>周边视野检查要求：直径5mm的白色视标，检查距离330mm，视野背景亮度为31.5as</w:t>
      </w:r>
      <w:r>
        <w:t>b</w:t>
      </w:r>
      <w:r>
        <w:rPr>
          <w:rFonts w:hint="eastAsia"/>
        </w:rPr>
        <w:t>。</w:t>
      </w:r>
    </w:p>
    <w:p>
      <w:pPr>
        <w:pStyle w:val="10"/>
        <w:rPr>
          <w:rFonts w:hint="eastAsia"/>
        </w:rPr>
      </w:pPr>
      <w:r>
        <w:rPr>
          <w:rFonts w:hint="eastAsia"/>
        </w:rPr>
        <w:t>视力障碍检查具体方法参考《视觉功能障碍法医鉴定指南》（SF/Z JD 0103004）。</w:t>
      </w:r>
    </w:p>
    <w:p>
      <w:pPr>
        <w:pStyle w:val="15"/>
        <w:numPr>
          <w:numId w:val="0"/>
        </w:numPr>
        <w:spacing w:before="120" w:beforeLines="50" w:after="120" w:afterLines="50"/>
        <w:rPr>
          <w:rFonts w:hint="eastAsia" w:hAnsi="黑体"/>
        </w:rPr>
      </w:pPr>
      <w:r>
        <w:rPr>
          <w:rFonts w:hint="eastAsia" w:hAnsi="黑体"/>
        </w:rPr>
        <w:t>C.2视野有效值计算</w:t>
      </w:r>
    </w:p>
    <w:p>
      <w:pPr>
        <w:pStyle w:val="10"/>
        <w:rPr>
          <w:rFonts w:hint="eastAsia"/>
        </w:rPr>
      </w:pPr>
      <w:r>
        <w:rPr>
          <w:rStyle w:val="20"/>
          <w:rFonts w:hint="eastAsia" w:ascii="黑体" w:hAnsi="黑体" w:eastAsia="黑体"/>
        </w:rPr>
        <w:t xml:space="preserve">    </w:t>
      </w:r>
      <w:r>
        <w:rPr>
          <w:rStyle w:val="20"/>
          <w:rFonts w:hAnsi="宋体"/>
        </w:rPr>
        <w:t>视野有效值计算公式</w:t>
      </w:r>
      <w:r>
        <w:rPr>
          <w:rFonts w:hint="eastAsia"/>
        </w:rPr>
        <w:t xml:space="preserve">： </w:t>
      </w:r>
    </w:p>
    <w:tbl>
      <w:tblPr>
        <w:tblStyle w:val="8"/>
        <w:tblW w:w="5380" w:type="dxa"/>
        <w:jc w:val="center"/>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30" w:type="dxa"/>
          <w:bottom w:w="0" w:type="dxa"/>
          <w:right w:w="30" w:type="dxa"/>
        </w:tblCellMar>
      </w:tblPr>
      <w:tblGrid>
        <w:gridCol w:w="2655"/>
        <w:gridCol w:w="2725"/>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30" w:type="dxa"/>
            <w:bottom w:w="0" w:type="dxa"/>
            <w:right w:w="30" w:type="dxa"/>
          </w:tblCellMar>
        </w:tblPrEx>
        <w:trPr>
          <w:cantSplit/>
          <w:trHeight w:val="223" w:hRule="atLeast"/>
          <w:jc w:val="center"/>
        </w:trPr>
        <w:tc>
          <w:tcPr>
            <w:tcW w:w="2655" w:type="dxa"/>
            <w:vMerge w:val="restart"/>
            <w:vAlign w:val="center"/>
          </w:tcPr>
          <w:p>
            <w:pPr>
              <w:pStyle w:val="10"/>
              <w:spacing w:line="240" w:lineRule="exact"/>
              <w:ind w:firstLine="360"/>
              <w:rPr>
                <w:rFonts w:hint="eastAsia"/>
                <w:sz w:val="18"/>
                <w:szCs w:val="18"/>
              </w:rPr>
            </w:pPr>
            <w:r>
              <w:rPr>
                <w:rFonts w:hint="eastAsia"/>
                <w:sz w:val="18"/>
                <w:szCs w:val="18"/>
              </w:rPr>
              <w:t>实测视野有效值（％）＝</w:t>
            </w:r>
          </w:p>
        </w:tc>
        <w:tc>
          <w:tcPr>
            <w:tcW w:w="2725" w:type="dxa"/>
            <w:vAlign w:val="center"/>
          </w:tcPr>
          <w:p>
            <w:pPr>
              <w:pStyle w:val="10"/>
              <w:spacing w:line="240" w:lineRule="exact"/>
              <w:ind w:firstLine="0" w:firstLineChars="0"/>
              <w:jc w:val="center"/>
              <w:rPr>
                <w:rFonts w:hint="eastAsia"/>
                <w:sz w:val="18"/>
                <w:szCs w:val="18"/>
              </w:rPr>
            </w:pPr>
            <w:r>
              <w:rPr>
                <w:rFonts w:hint="eastAsia"/>
                <w:sz w:val="18"/>
                <w:szCs w:val="18"/>
              </w:rPr>
              <w:t>8条子午线实测视野值的总和</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30" w:type="dxa"/>
            <w:bottom w:w="0" w:type="dxa"/>
            <w:right w:w="30" w:type="dxa"/>
          </w:tblCellMar>
        </w:tblPrEx>
        <w:trPr>
          <w:cantSplit/>
          <w:trHeight w:val="190" w:hRule="atLeast"/>
          <w:jc w:val="center"/>
        </w:trPr>
        <w:tc>
          <w:tcPr>
            <w:tcW w:w="2655" w:type="dxa"/>
            <w:vMerge w:val="continue"/>
            <w:vAlign w:val="top"/>
          </w:tcPr>
          <w:p>
            <w:pPr>
              <w:pStyle w:val="10"/>
              <w:spacing w:line="240" w:lineRule="exact"/>
              <w:ind w:firstLine="360"/>
              <w:rPr>
                <w:rFonts w:hint="eastAsia" w:ascii="楷体_GB2312" w:eastAsia="楷体_GB2312"/>
                <w:sz w:val="18"/>
                <w:szCs w:val="18"/>
              </w:rPr>
            </w:pPr>
          </w:p>
        </w:tc>
        <w:tc>
          <w:tcPr>
            <w:tcW w:w="2725" w:type="dxa"/>
            <w:vAlign w:val="center"/>
          </w:tcPr>
          <w:p>
            <w:pPr>
              <w:pStyle w:val="10"/>
              <w:spacing w:line="240" w:lineRule="exact"/>
              <w:ind w:firstLine="360"/>
              <w:jc w:val="center"/>
              <w:rPr>
                <w:rFonts w:hint="eastAsia"/>
                <w:sz w:val="18"/>
                <w:szCs w:val="18"/>
              </w:rPr>
            </w:pPr>
            <w:r>
              <w:rPr>
                <w:rFonts w:hint="eastAsia"/>
                <w:sz w:val="18"/>
                <w:szCs w:val="18"/>
              </w:rPr>
              <w:t>500</w:t>
            </w:r>
          </w:p>
        </w:tc>
      </w:tr>
    </w:tbl>
    <w:p>
      <w:pPr>
        <w:pStyle w:val="10"/>
        <w:rPr>
          <w:rFonts w:hint="eastAsia" w:hAnsi="黑体"/>
        </w:rPr>
      </w:pPr>
      <w:r>
        <w:rPr>
          <w:rFonts w:hint="eastAsia"/>
        </w:rPr>
        <w:t xml:space="preserve">     视野有效值换算见表C-1。</w:t>
      </w:r>
    </w:p>
    <w:p>
      <w:pPr>
        <w:pStyle w:val="21"/>
        <w:numPr>
          <w:numId w:val="0"/>
        </w:numPr>
        <w:spacing w:before="120" w:after="120"/>
        <w:ind w:left="2205"/>
        <w:jc w:val="left"/>
        <w:rPr>
          <w:rFonts w:hint="eastAsia" w:hAnsi="黑体"/>
        </w:rPr>
      </w:pPr>
      <w:r>
        <w:rPr>
          <w:rFonts w:hint="eastAsia" w:hAnsi="黑体"/>
        </w:rPr>
        <w:t>表C-1视野有效值与视野半径的换算</w:t>
      </w:r>
    </w:p>
    <w:tbl>
      <w:tblPr>
        <w:tblStyle w:val="8"/>
        <w:tblW w:w="6525" w:type="dxa"/>
        <w:jc w:val="center"/>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8"/>
        <w:gridCol w:w="3327"/>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198" w:type="dxa"/>
            <w:tcBorders>
              <w:top w:val="single" w:color="auto" w:sz="4" w:space="0"/>
              <w:bottom w:val="single" w:color="auto" w:sz="4" w:space="0"/>
            </w:tcBorders>
            <w:vAlign w:val="center"/>
          </w:tcPr>
          <w:p>
            <w:pPr>
              <w:pStyle w:val="10"/>
              <w:spacing w:line="240" w:lineRule="exact"/>
              <w:ind w:firstLine="0" w:firstLineChars="0"/>
              <w:jc w:val="center"/>
              <w:rPr>
                <w:rFonts w:hAnsi="宋体"/>
                <w:sz w:val="18"/>
                <w:szCs w:val="18"/>
              </w:rPr>
            </w:pPr>
            <w:r>
              <w:rPr>
                <w:rFonts w:hint="eastAsia" w:hAnsi="宋体"/>
                <w:sz w:val="18"/>
                <w:szCs w:val="18"/>
              </w:rPr>
              <w:t>视野有效值（％）</w:t>
            </w:r>
          </w:p>
        </w:tc>
        <w:tc>
          <w:tcPr>
            <w:tcW w:w="3327" w:type="dxa"/>
            <w:tcBorders>
              <w:top w:val="single" w:color="auto" w:sz="4" w:space="0"/>
              <w:bottom w:val="single" w:color="auto" w:sz="4" w:space="0"/>
            </w:tcBorders>
            <w:vAlign w:val="center"/>
          </w:tcPr>
          <w:p>
            <w:pPr>
              <w:pStyle w:val="10"/>
              <w:spacing w:line="240" w:lineRule="exact"/>
              <w:ind w:firstLine="0" w:firstLineChars="0"/>
              <w:jc w:val="center"/>
              <w:rPr>
                <w:rFonts w:hAnsi="宋体"/>
                <w:sz w:val="18"/>
                <w:szCs w:val="18"/>
              </w:rPr>
            </w:pPr>
            <w:r>
              <w:rPr>
                <w:rFonts w:hint="eastAsia" w:hAnsi="宋体"/>
                <w:sz w:val="18"/>
                <w:szCs w:val="18"/>
              </w:rPr>
              <w:t>视野度数（半径）</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198" w:type="dxa"/>
            <w:tcBorders>
              <w:top w:val="single" w:color="auto" w:sz="4" w:space="0"/>
            </w:tcBorders>
            <w:shd w:val="clear" w:color="auto" w:fill="D9D9D9"/>
            <w:vAlign w:val="center"/>
          </w:tcPr>
          <w:p>
            <w:pPr>
              <w:pStyle w:val="10"/>
              <w:spacing w:line="240" w:lineRule="exact"/>
              <w:ind w:left="-90" w:leftChars="-300" w:hanging="540" w:hangingChars="300"/>
              <w:jc w:val="center"/>
              <w:rPr>
                <w:rFonts w:hAnsi="宋体"/>
                <w:sz w:val="18"/>
                <w:szCs w:val="18"/>
              </w:rPr>
            </w:pPr>
            <w:r>
              <w:rPr>
                <w:rFonts w:hint="eastAsia" w:hAnsi="宋体"/>
                <w:sz w:val="18"/>
                <w:szCs w:val="18"/>
              </w:rPr>
              <w:t xml:space="preserve">   </w:t>
            </w:r>
            <w:r>
              <w:rPr>
                <w:rFonts w:hAnsi="宋体"/>
                <w:sz w:val="18"/>
                <w:szCs w:val="18"/>
              </w:rPr>
              <w:t>8</w:t>
            </w:r>
          </w:p>
        </w:tc>
        <w:tc>
          <w:tcPr>
            <w:tcW w:w="3327" w:type="dxa"/>
            <w:tcBorders>
              <w:top w:val="single" w:color="auto" w:sz="4" w:space="0"/>
            </w:tcBorders>
            <w:shd w:val="clear" w:color="auto" w:fill="D9D9D9"/>
            <w:vAlign w:val="center"/>
          </w:tcPr>
          <w:p>
            <w:pPr>
              <w:pStyle w:val="10"/>
              <w:spacing w:line="240" w:lineRule="exact"/>
              <w:ind w:left="-90" w:leftChars="-300" w:hanging="540" w:hangingChars="300"/>
              <w:jc w:val="center"/>
              <w:rPr>
                <w:rFonts w:hAnsi="宋体"/>
                <w:sz w:val="18"/>
                <w:szCs w:val="18"/>
              </w:rPr>
            </w:pPr>
            <w:r>
              <w:rPr>
                <w:rFonts w:hint="eastAsia" w:hAnsi="宋体"/>
                <w:sz w:val="18"/>
                <w:szCs w:val="18"/>
              </w:rPr>
              <w:t xml:space="preserve">      </w:t>
            </w:r>
            <w:r>
              <w:rPr>
                <w:rFonts w:hAnsi="宋体"/>
                <w:sz w:val="18"/>
                <w:szCs w:val="18"/>
              </w:rPr>
              <w:t>5</w:t>
            </w:r>
            <w:r>
              <w:rPr>
                <w:rFonts w:hint="eastAsia" w:hAnsi="宋体"/>
                <w:sz w:val="18"/>
                <w:szCs w:val="18"/>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198" w:type="dxa"/>
            <w:vAlign w:val="center"/>
          </w:tcPr>
          <w:p>
            <w:pPr>
              <w:pStyle w:val="10"/>
              <w:spacing w:line="240" w:lineRule="exact"/>
              <w:ind w:left="-90" w:leftChars="-300" w:hanging="540" w:hangingChars="300"/>
              <w:jc w:val="center"/>
              <w:rPr>
                <w:rFonts w:hint="eastAsia" w:hAnsi="宋体"/>
                <w:sz w:val="18"/>
                <w:szCs w:val="18"/>
              </w:rPr>
            </w:pPr>
            <w:r>
              <w:rPr>
                <w:rFonts w:hint="eastAsia" w:hAnsi="宋体"/>
                <w:sz w:val="18"/>
                <w:szCs w:val="18"/>
              </w:rPr>
              <w:t xml:space="preserve">   16</w:t>
            </w:r>
          </w:p>
        </w:tc>
        <w:tc>
          <w:tcPr>
            <w:tcW w:w="3327" w:type="dxa"/>
            <w:vAlign w:val="center"/>
          </w:tcPr>
          <w:p>
            <w:pPr>
              <w:pStyle w:val="10"/>
              <w:spacing w:line="240" w:lineRule="exact"/>
              <w:ind w:left="-90" w:leftChars="-300" w:hanging="540" w:hangingChars="300"/>
              <w:jc w:val="center"/>
              <w:rPr>
                <w:rFonts w:hAnsi="宋体"/>
                <w:sz w:val="18"/>
                <w:szCs w:val="18"/>
              </w:rPr>
            </w:pPr>
            <w:r>
              <w:rPr>
                <w:rFonts w:hint="eastAsia" w:hAnsi="宋体"/>
                <w:sz w:val="18"/>
                <w:szCs w:val="18"/>
              </w:rPr>
              <w:t xml:space="preserve">      </w:t>
            </w:r>
            <w:r>
              <w:rPr>
                <w:rFonts w:hAnsi="宋体"/>
                <w:sz w:val="18"/>
                <w:szCs w:val="18"/>
              </w:rPr>
              <w:t>10</w:t>
            </w:r>
            <w:r>
              <w:rPr>
                <w:rFonts w:hint="eastAsia" w:hAnsi="宋体"/>
                <w:sz w:val="18"/>
                <w:szCs w:val="18"/>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3198" w:type="dxa"/>
            <w:shd w:val="clear" w:color="auto" w:fill="D9D9D9"/>
            <w:vAlign w:val="center"/>
          </w:tcPr>
          <w:p>
            <w:pPr>
              <w:pStyle w:val="10"/>
              <w:spacing w:line="240" w:lineRule="exact"/>
              <w:ind w:left="-90" w:leftChars="-300" w:hanging="540" w:hangingChars="300"/>
              <w:jc w:val="center"/>
              <w:rPr>
                <w:rFonts w:hint="eastAsia" w:hAnsi="宋体"/>
                <w:sz w:val="18"/>
                <w:szCs w:val="18"/>
              </w:rPr>
            </w:pPr>
            <w:r>
              <w:rPr>
                <w:rFonts w:hint="eastAsia" w:hAnsi="宋体"/>
                <w:sz w:val="18"/>
                <w:szCs w:val="18"/>
              </w:rPr>
              <w:t xml:space="preserve">   24</w:t>
            </w:r>
          </w:p>
        </w:tc>
        <w:tc>
          <w:tcPr>
            <w:tcW w:w="3327" w:type="dxa"/>
            <w:shd w:val="clear" w:color="auto" w:fill="D9D9D9"/>
            <w:vAlign w:val="center"/>
          </w:tcPr>
          <w:p>
            <w:pPr>
              <w:pStyle w:val="10"/>
              <w:spacing w:line="240" w:lineRule="exact"/>
              <w:ind w:left="-90" w:leftChars="-300" w:hanging="540" w:hangingChars="300"/>
              <w:jc w:val="center"/>
              <w:rPr>
                <w:rFonts w:hAnsi="宋体"/>
                <w:sz w:val="18"/>
                <w:szCs w:val="18"/>
              </w:rPr>
            </w:pPr>
            <w:r>
              <w:rPr>
                <w:rFonts w:hint="eastAsia" w:hAnsi="宋体"/>
                <w:sz w:val="18"/>
                <w:szCs w:val="18"/>
              </w:rPr>
              <w:t xml:space="preserve">      </w:t>
            </w:r>
            <w:r>
              <w:rPr>
                <w:rFonts w:hAnsi="宋体"/>
                <w:sz w:val="18"/>
                <w:szCs w:val="18"/>
              </w:rPr>
              <w:t>15</w:t>
            </w:r>
            <w:r>
              <w:rPr>
                <w:rFonts w:hint="eastAsia" w:hAnsi="宋体"/>
                <w:sz w:val="18"/>
                <w:szCs w:val="18"/>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198" w:type="dxa"/>
            <w:vAlign w:val="center"/>
          </w:tcPr>
          <w:p>
            <w:pPr>
              <w:pStyle w:val="10"/>
              <w:spacing w:line="240" w:lineRule="exact"/>
              <w:ind w:left="-90" w:leftChars="-300" w:hanging="540" w:hangingChars="300"/>
              <w:jc w:val="center"/>
              <w:rPr>
                <w:rFonts w:hint="eastAsia" w:hAnsi="宋体"/>
                <w:sz w:val="18"/>
                <w:szCs w:val="18"/>
              </w:rPr>
            </w:pPr>
            <w:r>
              <w:rPr>
                <w:rFonts w:hint="eastAsia" w:hAnsi="宋体"/>
                <w:sz w:val="18"/>
                <w:szCs w:val="18"/>
              </w:rPr>
              <w:t xml:space="preserve">   </w:t>
            </w:r>
            <w:r>
              <w:rPr>
                <w:rFonts w:hAnsi="宋体"/>
                <w:sz w:val="18"/>
                <w:szCs w:val="18"/>
              </w:rPr>
              <w:t>32</w:t>
            </w:r>
          </w:p>
        </w:tc>
        <w:tc>
          <w:tcPr>
            <w:tcW w:w="3327" w:type="dxa"/>
            <w:vAlign w:val="center"/>
          </w:tcPr>
          <w:p>
            <w:pPr>
              <w:pStyle w:val="10"/>
              <w:spacing w:line="240" w:lineRule="exact"/>
              <w:ind w:left="-90" w:leftChars="-300" w:hanging="540" w:hangingChars="300"/>
              <w:jc w:val="center"/>
              <w:rPr>
                <w:rFonts w:hAnsi="宋体"/>
                <w:sz w:val="18"/>
                <w:szCs w:val="18"/>
              </w:rPr>
            </w:pPr>
            <w:r>
              <w:rPr>
                <w:rFonts w:hint="eastAsia" w:hAnsi="宋体"/>
                <w:sz w:val="18"/>
                <w:szCs w:val="18"/>
              </w:rPr>
              <w:t xml:space="preserve">      </w:t>
            </w:r>
            <w:r>
              <w:rPr>
                <w:rFonts w:hAnsi="宋体"/>
                <w:sz w:val="18"/>
                <w:szCs w:val="18"/>
              </w:rPr>
              <w:t>20</w:t>
            </w:r>
            <w:r>
              <w:rPr>
                <w:rFonts w:hint="eastAsia" w:hAnsi="宋体"/>
                <w:sz w:val="18"/>
                <w:szCs w:val="18"/>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198" w:type="dxa"/>
            <w:shd w:val="clear" w:color="auto" w:fill="D9D9D9"/>
            <w:vAlign w:val="center"/>
          </w:tcPr>
          <w:p>
            <w:pPr>
              <w:pStyle w:val="10"/>
              <w:spacing w:line="240" w:lineRule="exact"/>
              <w:ind w:left="-90" w:leftChars="-300" w:hanging="540" w:hangingChars="300"/>
              <w:jc w:val="center"/>
              <w:rPr>
                <w:rFonts w:hAnsi="宋体"/>
                <w:sz w:val="18"/>
                <w:szCs w:val="18"/>
              </w:rPr>
            </w:pPr>
            <w:r>
              <w:rPr>
                <w:rFonts w:hint="eastAsia" w:hAnsi="宋体"/>
                <w:sz w:val="18"/>
                <w:szCs w:val="18"/>
              </w:rPr>
              <w:t xml:space="preserve">   </w:t>
            </w:r>
            <w:r>
              <w:rPr>
                <w:rFonts w:hAnsi="宋体"/>
                <w:sz w:val="18"/>
                <w:szCs w:val="18"/>
              </w:rPr>
              <w:t>40</w:t>
            </w:r>
          </w:p>
        </w:tc>
        <w:tc>
          <w:tcPr>
            <w:tcW w:w="3327" w:type="dxa"/>
            <w:shd w:val="clear" w:color="auto" w:fill="D9D9D9"/>
            <w:vAlign w:val="center"/>
          </w:tcPr>
          <w:p>
            <w:pPr>
              <w:pStyle w:val="10"/>
              <w:spacing w:line="240" w:lineRule="exact"/>
              <w:ind w:left="-90" w:leftChars="-300" w:hanging="540" w:hangingChars="300"/>
              <w:jc w:val="center"/>
              <w:rPr>
                <w:rFonts w:hAnsi="宋体"/>
                <w:sz w:val="18"/>
                <w:szCs w:val="18"/>
              </w:rPr>
            </w:pPr>
            <w:r>
              <w:rPr>
                <w:rFonts w:hint="eastAsia" w:hAnsi="宋体"/>
                <w:sz w:val="18"/>
                <w:szCs w:val="18"/>
              </w:rPr>
              <w:t xml:space="preserve">      </w:t>
            </w:r>
            <w:r>
              <w:rPr>
                <w:rFonts w:hAnsi="宋体"/>
                <w:sz w:val="18"/>
                <w:szCs w:val="18"/>
              </w:rPr>
              <w:t>25</w:t>
            </w:r>
            <w:r>
              <w:rPr>
                <w:rFonts w:hint="eastAsia" w:hAnsi="宋体"/>
                <w:sz w:val="18"/>
                <w:szCs w:val="18"/>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198" w:type="dxa"/>
            <w:vAlign w:val="center"/>
          </w:tcPr>
          <w:p>
            <w:pPr>
              <w:pStyle w:val="10"/>
              <w:spacing w:line="240" w:lineRule="exact"/>
              <w:ind w:left="-90" w:leftChars="-300" w:hanging="540" w:hangingChars="300"/>
              <w:jc w:val="center"/>
              <w:rPr>
                <w:rFonts w:hAnsi="宋体"/>
                <w:sz w:val="18"/>
                <w:szCs w:val="18"/>
              </w:rPr>
            </w:pPr>
            <w:r>
              <w:rPr>
                <w:rFonts w:hint="eastAsia" w:hAnsi="宋体"/>
                <w:sz w:val="18"/>
                <w:szCs w:val="18"/>
              </w:rPr>
              <w:t xml:space="preserve">   </w:t>
            </w:r>
            <w:r>
              <w:rPr>
                <w:rFonts w:hAnsi="宋体"/>
                <w:sz w:val="18"/>
                <w:szCs w:val="18"/>
              </w:rPr>
              <w:t>48</w:t>
            </w:r>
          </w:p>
        </w:tc>
        <w:tc>
          <w:tcPr>
            <w:tcW w:w="3327" w:type="dxa"/>
            <w:vAlign w:val="center"/>
          </w:tcPr>
          <w:p>
            <w:pPr>
              <w:pStyle w:val="10"/>
              <w:spacing w:line="240" w:lineRule="exact"/>
              <w:ind w:left="-90" w:leftChars="-300" w:hanging="540" w:hangingChars="300"/>
              <w:jc w:val="center"/>
              <w:rPr>
                <w:rFonts w:hAnsi="宋体"/>
                <w:sz w:val="18"/>
                <w:szCs w:val="18"/>
              </w:rPr>
            </w:pPr>
            <w:r>
              <w:rPr>
                <w:rFonts w:hint="eastAsia" w:hAnsi="宋体"/>
                <w:sz w:val="18"/>
                <w:szCs w:val="18"/>
              </w:rPr>
              <w:t xml:space="preserve">      </w:t>
            </w:r>
            <w:r>
              <w:rPr>
                <w:rFonts w:hAnsi="宋体"/>
                <w:sz w:val="18"/>
                <w:szCs w:val="18"/>
              </w:rPr>
              <w:t>30</w:t>
            </w:r>
            <w:r>
              <w:rPr>
                <w:rFonts w:hint="eastAsia" w:hAnsi="宋体"/>
                <w:sz w:val="18"/>
                <w:szCs w:val="18"/>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3198" w:type="dxa"/>
            <w:shd w:val="clear" w:color="auto" w:fill="D9D9D9"/>
            <w:vAlign w:val="center"/>
          </w:tcPr>
          <w:p>
            <w:pPr>
              <w:pStyle w:val="10"/>
              <w:spacing w:line="240" w:lineRule="exact"/>
              <w:ind w:left="-90" w:leftChars="-300" w:hanging="540" w:hangingChars="300"/>
              <w:jc w:val="center"/>
              <w:rPr>
                <w:rFonts w:hAnsi="宋体"/>
                <w:sz w:val="18"/>
                <w:szCs w:val="18"/>
              </w:rPr>
            </w:pPr>
            <w:r>
              <w:rPr>
                <w:rFonts w:hint="eastAsia" w:hAnsi="宋体"/>
                <w:sz w:val="18"/>
                <w:szCs w:val="18"/>
              </w:rPr>
              <w:t xml:space="preserve">   </w:t>
            </w:r>
            <w:r>
              <w:rPr>
                <w:rFonts w:hAnsi="宋体"/>
                <w:sz w:val="18"/>
                <w:szCs w:val="18"/>
              </w:rPr>
              <w:t>56</w:t>
            </w:r>
          </w:p>
        </w:tc>
        <w:tc>
          <w:tcPr>
            <w:tcW w:w="3327" w:type="dxa"/>
            <w:shd w:val="clear" w:color="auto" w:fill="D9D9D9"/>
            <w:vAlign w:val="center"/>
          </w:tcPr>
          <w:p>
            <w:pPr>
              <w:pStyle w:val="10"/>
              <w:spacing w:line="240" w:lineRule="exact"/>
              <w:ind w:left="-90" w:leftChars="-300" w:hanging="540" w:hangingChars="300"/>
              <w:jc w:val="center"/>
              <w:rPr>
                <w:rFonts w:hAnsi="宋体"/>
                <w:sz w:val="18"/>
                <w:szCs w:val="18"/>
              </w:rPr>
            </w:pPr>
            <w:r>
              <w:rPr>
                <w:rFonts w:hint="eastAsia" w:hAnsi="宋体"/>
                <w:sz w:val="18"/>
                <w:szCs w:val="18"/>
              </w:rPr>
              <w:t xml:space="preserve">      </w:t>
            </w:r>
            <w:r>
              <w:rPr>
                <w:rFonts w:hAnsi="宋体"/>
                <w:sz w:val="18"/>
                <w:szCs w:val="18"/>
              </w:rPr>
              <w:t>35</w:t>
            </w:r>
            <w:r>
              <w:rPr>
                <w:rFonts w:hint="eastAsia" w:hAnsi="宋体"/>
                <w:sz w:val="18"/>
                <w:szCs w:val="18"/>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198" w:type="dxa"/>
            <w:tcBorders>
              <w:bottom w:val="nil"/>
            </w:tcBorders>
            <w:vAlign w:val="center"/>
          </w:tcPr>
          <w:p>
            <w:pPr>
              <w:pStyle w:val="10"/>
              <w:spacing w:line="240" w:lineRule="exact"/>
              <w:ind w:left="-90" w:leftChars="-300" w:hanging="540" w:hangingChars="300"/>
              <w:jc w:val="center"/>
              <w:rPr>
                <w:rFonts w:hAnsi="宋体"/>
                <w:sz w:val="18"/>
                <w:szCs w:val="18"/>
              </w:rPr>
            </w:pPr>
            <w:r>
              <w:rPr>
                <w:rFonts w:hint="eastAsia" w:hAnsi="宋体"/>
                <w:sz w:val="18"/>
                <w:szCs w:val="18"/>
              </w:rPr>
              <w:t xml:space="preserve">   </w:t>
            </w:r>
            <w:r>
              <w:rPr>
                <w:rFonts w:hAnsi="宋体"/>
                <w:sz w:val="18"/>
                <w:szCs w:val="18"/>
              </w:rPr>
              <w:t>64</w:t>
            </w:r>
          </w:p>
        </w:tc>
        <w:tc>
          <w:tcPr>
            <w:tcW w:w="3327" w:type="dxa"/>
            <w:tcBorders>
              <w:bottom w:val="nil"/>
            </w:tcBorders>
            <w:vAlign w:val="center"/>
          </w:tcPr>
          <w:p>
            <w:pPr>
              <w:pStyle w:val="10"/>
              <w:spacing w:line="240" w:lineRule="exact"/>
              <w:ind w:left="-90" w:leftChars="-300" w:hanging="540" w:hangingChars="300"/>
              <w:jc w:val="center"/>
              <w:rPr>
                <w:rFonts w:hAnsi="宋体"/>
                <w:sz w:val="18"/>
                <w:szCs w:val="18"/>
              </w:rPr>
            </w:pPr>
            <w:r>
              <w:rPr>
                <w:rFonts w:hint="eastAsia" w:hAnsi="宋体"/>
                <w:sz w:val="18"/>
                <w:szCs w:val="18"/>
              </w:rPr>
              <w:t xml:space="preserve">      </w:t>
            </w:r>
            <w:r>
              <w:rPr>
                <w:rFonts w:hAnsi="宋体"/>
                <w:sz w:val="18"/>
                <w:szCs w:val="18"/>
              </w:rPr>
              <w:t>40</w:t>
            </w:r>
            <w:r>
              <w:rPr>
                <w:rFonts w:hint="eastAsia" w:hAnsi="宋体"/>
                <w:sz w:val="18"/>
                <w:szCs w:val="18"/>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198" w:type="dxa"/>
            <w:tcBorders>
              <w:top w:val="nil"/>
              <w:bottom w:val="single" w:color="auto" w:sz="4" w:space="0"/>
            </w:tcBorders>
            <w:shd w:val="clear" w:color="auto" w:fill="D9D9D9"/>
            <w:vAlign w:val="center"/>
          </w:tcPr>
          <w:p>
            <w:pPr>
              <w:pStyle w:val="10"/>
              <w:spacing w:line="240" w:lineRule="exact"/>
              <w:ind w:left="-90" w:leftChars="-300" w:hanging="540" w:hangingChars="300"/>
              <w:jc w:val="center"/>
              <w:rPr>
                <w:rFonts w:hAnsi="宋体"/>
                <w:sz w:val="18"/>
                <w:szCs w:val="18"/>
              </w:rPr>
            </w:pPr>
            <w:r>
              <w:rPr>
                <w:rFonts w:hint="eastAsia" w:hAnsi="宋体"/>
                <w:sz w:val="18"/>
                <w:szCs w:val="18"/>
              </w:rPr>
              <w:t xml:space="preserve">   </w:t>
            </w:r>
            <w:r>
              <w:rPr>
                <w:rFonts w:hAnsi="宋体"/>
                <w:sz w:val="18"/>
                <w:szCs w:val="18"/>
              </w:rPr>
              <w:t>72</w:t>
            </w:r>
          </w:p>
        </w:tc>
        <w:tc>
          <w:tcPr>
            <w:tcW w:w="3327" w:type="dxa"/>
            <w:tcBorders>
              <w:top w:val="nil"/>
              <w:bottom w:val="single" w:color="auto" w:sz="4" w:space="0"/>
            </w:tcBorders>
            <w:shd w:val="clear" w:color="auto" w:fill="D9D9D9"/>
            <w:vAlign w:val="center"/>
          </w:tcPr>
          <w:p>
            <w:pPr>
              <w:pStyle w:val="10"/>
              <w:spacing w:line="240" w:lineRule="exact"/>
              <w:ind w:left="-90" w:leftChars="-300" w:hanging="540" w:hangingChars="300"/>
              <w:jc w:val="center"/>
              <w:rPr>
                <w:rFonts w:hAnsi="宋体"/>
                <w:sz w:val="18"/>
                <w:szCs w:val="18"/>
              </w:rPr>
            </w:pPr>
            <w:r>
              <w:rPr>
                <w:rFonts w:hint="eastAsia" w:hAnsi="宋体"/>
                <w:sz w:val="18"/>
                <w:szCs w:val="18"/>
              </w:rPr>
              <w:t xml:space="preserve">      </w:t>
            </w:r>
            <w:r>
              <w:rPr>
                <w:rFonts w:hAnsi="宋体"/>
                <w:sz w:val="18"/>
                <w:szCs w:val="18"/>
              </w:rPr>
              <w:t>45</w:t>
            </w:r>
            <w:r>
              <w:rPr>
                <w:rFonts w:hint="eastAsia" w:hAnsi="宋体"/>
                <w:sz w:val="18"/>
                <w:szCs w:val="18"/>
              </w:rPr>
              <w:t>°</w:t>
            </w:r>
          </w:p>
        </w:tc>
      </w:tr>
    </w:tbl>
    <w:p>
      <w:pPr>
        <w:pStyle w:val="15"/>
        <w:numPr>
          <w:numId w:val="0"/>
        </w:numPr>
        <w:wordWrap/>
        <w:spacing w:before="120" w:beforeLines="50" w:after="120" w:afterLines="50" w:line="320" w:lineRule="exact"/>
        <w:rPr>
          <w:rFonts w:hint="eastAsia" w:hAnsi="黑体"/>
        </w:rPr>
      </w:pPr>
      <w:r>
        <w:rPr>
          <w:rFonts w:hint="eastAsia" w:hAnsi="黑体"/>
        </w:rPr>
        <w:t>C.3听力评估方法</w:t>
      </w:r>
    </w:p>
    <w:p>
      <w:pPr>
        <w:pStyle w:val="10"/>
        <w:rPr>
          <w:rFonts w:hint="eastAsia"/>
        </w:rPr>
      </w:pPr>
      <w:r>
        <w:rPr>
          <w:rFonts w:hint="eastAsia" w:hAnsi="宋体"/>
        </w:rPr>
        <w:t>听力障碍检查应符合《听力障碍的法医学评定》（GA/T 914）。</w:t>
      </w:r>
      <w:r>
        <w:rPr>
          <w:rFonts w:hint="eastAsia"/>
        </w:rPr>
        <w:t>听力损失计算应按照世界卫生组织推荐的听力减退分级的频率范围，取0.5、1、2、4kHz四个频率</w:t>
      </w:r>
      <w:r>
        <w:t>气导</w:t>
      </w:r>
      <w:r>
        <w:rPr>
          <w:rFonts w:hint="eastAsia"/>
        </w:rPr>
        <w:t>听阈级的平均值。如所得均值不是整数，则小数点后之尾数采用4舍5入法修为整数。</w:t>
      </w:r>
    </w:p>
    <w:p>
      <w:pPr>
        <w:pStyle w:val="10"/>
        <w:rPr>
          <w:rFonts w:hint="eastAsia"/>
        </w:rPr>
      </w:pPr>
      <w:r>
        <w:t>纯音</w:t>
      </w:r>
      <w:r>
        <w:rPr>
          <w:rFonts w:hint="eastAsia"/>
        </w:rPr>
        <w:t>听阈级</w:t>
      </w:r>
      <w:r>
        <w:t>测</w:t>
      </w:r>
      <w:r>
        <w:rPr>
          <w:rFonts w:hint="eastAsia"/>
        </w:rPr>
        <w:t>试时，</w:t>
      </w:r>
      <w:r>
        <w:t>如某一频率纯音气导</w:t>
      </w:r>
      <w:r>
        <w:rPr>
          <w:rFonts w:hint="eastAsia"/>
        </w:rPr>
        <w:t>最大声输出</w:t>
      </w:r>
      <w:r>
        <w:t>仍无反应时，以</w:t>
      </w:r>
      <w:r>
        <w:rPr>
          <w:rFonts w:hint="eastAsia"/>
        </w:rPr>
        <w:t>最大声输出值作为该频率听阈级</w:t>
      </w:r>
      <w:r>
        <w:t>。</w:t>
      </w:r>
    </w:p>
    <w:p>
      <w:pPr>
        <w:pStyle w:val="10"/>
        <w:rPr>
          <w:rFonts w:hint="eastAsia" w:hAnsi="宋体"/>
        </w:rPr>
      </w:pPr>
      <w:r>
        <w:rPr>
          <w:rFonts w:hint="eastAsia" w:ascii="Times New Roman"/>
          <w:kern w:val="2"/>
          <w:szCs w:val="24"/>
        </w:rPr>
        <w:t>听觉诱发电位测试时，若最大输出声强仍引不出反应波形的，以最大输出声强为反应阈值。</w:t>
      </w:r>
      <w:r>
        <w:rPr>
          <w:rFonts w:hint="eastAsia" w:hAnsi="宋体"/>
        </w:rPr>
        <w:t>在听阈评估时，听力学单位一律使用听力级（dB HL）。一般情况下，受试者听觉诱发电位反应阈要比其行为听阈高 10</w:t>
      </w:r>
      <w:r>
        <w:rPr>
          <w:rFonts w:hAnsi="宋体"/>
        </w:rPr>
        <w:t>～</w:t>
      </w:r>
      <w:r>
        <w:rPr>
          <w:rFonts w:hint="eastAsia" w:hAnsi="宋体"/>
        </w:rPr>
        <w:t>20 dB（该差值又称“校正值”），即受试者的行为听阈等于其听觉诱发电位反应阈减去“校正值”。实施听觉诱发电位检测的机构应建立本实验室的“校正值”，若尚未建立，建议取参考平均值（15 dB）作为“校正值”。</w:t>
      </w:r>
    </w:p>
    <w:p>
      <w:pPr>
        <w:pStyle w:val="10"/>
        <w:rPr>
          <w:rFonts w:hint="eastAsia" w:hAnsi="宋体"/>
          <w:kern w:val="2"/>
          <w:szCs w:val="24"/>
        </w:rPr>
      </w:pPr>
      <w:r>
        <w:rPr>
          <w:rFonts w:hAnsi="宋体"/>
          <w:kern w:val="2"/>
          <w:szCs w:val="24"/>
        </w:rPr>
        <w:t>纯音气导</w:t>
      </w:r>
      <w:r>
        <w:rPr>
          <w:rFonts w:hint="eastAsia" w:hAnsi="宋体"/>
          <w:kern w:val="2"/>
          <w:szCs w:val="24"/>
        </w:rPr>
        <w:t>听</w:t>
      </w:r>
      <w:r>
        <w:rPr>
          <w:rFonts w:hAnsi="宋体"/>
          <w:kern w:val="2"/>
          <w:szCs w:val="24"/>
        </w:rPr>
        <w:t>阈</w:t>
      </w:r>
      <w:r>
        <w:rPr>
          <w:rFonts w:hint="eastAsia" w:hAnsi="宋体"/>
          <w:kern w:val="2"/>
          <w:szCs w:val="24"/>
        </w:rPr>
        <w:t>级</w:t>
      </w:r>
      <w:r>
        <w:rPr>
          <w:rFonts w:hAnsi="宋体"/>
          <w:kern w:val="2"/>
          <w:szCs w:val="24"/>
        </w:rPr>
        <w:t>应考虑年龄因素，按</w:t>
      </w:r>
      <w:r>
        <w:rPr>
          <w:rFonts w:hint="eastAsia" w:hAnsi="宋体"/>
          <w:kern w:val="2"/>
          <w:szCs w:val="24"/>
        </w:rPr>
        <w:t>照《</w:t>
      </w:r>
      <w:r>
        <w:rPr>
          <w:rFonts w:hint="eastAsia" w:hAnsi="宋体"/>
        </w:rPr>
        <w:t>声学 听阈与年龄关系的统计分布</w:t>
      </w:r>
      <w:r>
        <w:rPr>
          <w:rFonts w:hint="eastAsia" w:hAnsi="宋体"/>
          <w:kern w:val="2"/>
          <w:szCs w:val="24"/>
        </w:rPr>
        <w:t>》(GB/T 7582)</w:t>
      </w:r>
      <w:r>
        <w:rPr>
          <w:rFonts w:hAnsi="宋体"/>
          <w:kern w:val="2"/>
          <w:szCs w:val="24"/>
        </w:rPr>
        <w:t>听阈级偏差的中值(50％)进行修正</w:t>
      </w:r>
      <w:r>
        <w:rPr>
          <w:rFonts w:hint="eastAsia" w:hAnsi="宋体"/>
          <w:kern w:val="2"/>
          <w:szCs w:val="24"/>
        </w:rPr>
        <w:t>（见表C-2）。</w:t>
      </w:r>
    </w:p>
    <w:p>
      <w:pPr>
        <w:pStyle w:val="21"/>
        <w:numPr>
          <w:numId w:val="0"/>
        </w:numPr>
        <w:tabs>
          <w:tab w:val="left" w:pos="1440"/>
        </w:tabs>
        <w:spacing w:before="120" w:after="120"/>
        <w:ind w:left="142"/>
      </w:pPr>
      <w:r>
        <w:rPr>
          <w:rFonts w:hint="eastAsia"/>
        </w:rPr>
        <w:t>表C-2 耳科正常人随年龄增长超过的听阈偏差中值(GB/T 7582)</w:t>
      </w:r>
    </w:p>
    <w:tbl>
      <w:tblPr>
        <w:tblStyle w:val="8"/>
        <w:tblW w:w="806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5"/>
        <w:gridCol w:w="744"/>
        <w:gridCol w:w="943"/>
        <w:gridCol w:w="850"/>
        <w:gridCol w:w="709"/>
        <w:gridCol w:w="283"/>
        <w:gridCol w:w="780"/>
        <w:gridCol w:w="850"/>
        <w:gridCol w:w="922"/>
        <w:gridCol w:w="9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65" w:type="dxa"/>
            <w:tcBorders>
              <w:left w:val="nil"/>
              <w:bottom w:val="single" w:color="000000" w:sz="4" w:space="0"/>
              <w:right w:val="nil"/>
            </w:tcBorders>
            <w:vAlign w:val="top"/>
          </w:tcPr>
          <w:p>
            <w:pPr>
              <w:pStyle w:val="10"/>
              <w:spacing w:line="240" w:lineRule="exact"/>
              <w:ind w:firstLine="0" w:firstLineChars="0"/>
              <w:jc w:val="center"/>
              <w:rPr>
                <w:rFonts w:hAnsi="宋体"/>
                <w:sz w:val="18"/>
                <w:szCs w:val="18"/>
              </w:rPr>
            </w:pPr>
          </w:p>
        </w:tc>
        <w:tc>
          <w:tcPr>
            <w:tcW w:w="3246" w:type="dxa"/>
            <w:gridSpan w:val="4"/>
            <w:tcBorders>
              <w:left w:val="nil"/>
              <w:bottom w:val="single" w:color="000000" w:sz="4" w:space="0"/>
              <w:right w:val="nil"/>
            </w:tcBorders>
            <w:vAlign w:val="top"/>
          </w:tcPr>
          <w:p>
            <w:pPr>
              <w:pStyle w:val="10"/>
              <w:spacing w:line="240" w:lineRule="exact"/>
              <w:ind w:firstLine="0" w:firstLineChars="0"/>
              <w:jc w:val="center"/>
              <w:rPr>
                <w:rFonts w:hAnsi="宋体"/>
                <w:sz w:val="18"/>
                <w:szCs w:val="18"/>
              </w:rPr>
            </w:pPr>
            <w:r>
              <w:rPr>
                <w:rFonts w:hint="eastAsia" w:hAnsi="宋体"/>
                <w:sz w:val="18"/>
                <w:szCs w:val="18"/>
              </w:rPr>
              <w:t>男</w:t>
            </w:r>
          </w:p>
        </w:tc>
        <w:tc>
          <w:tcPr>
            <w:tcW w:w="283" w:type="dxa"/>
            <w:tcBorders>
              <w:left w:val="nil"/>
              <w:bottom w:val="single" w:color="000000" w:sz="4" w:space="0"/>
              <w:right w:val="nil"/>
            </w:tcBorders>
            <w:vAlign w:val="top"/>
          </w:tcPr>
          <w:p>
            <w:pPr>
              <w:pStyle w:val="10"/>
              <w:spacing w:line="240" w:lineRule="exact"/>
              <w:ind w:firstLine="0" w:firstLineChars="0"/>
              <w:jc w:val="center"/>
              <w:rPr>
                <w:rFonts w:hAnsi="宋体"/>
                <w:sz w:val="18"/>
                <w:szCs w:val="18"/>
              </w:rPr>
            </w:pPr>
          </w:p>
        </w:tc>
        <w:tc>
          <w:tcPr>
            <w:tcW w:w="3474" w:type="dxa"/>
            <w:gridSpan w:val="4"/>
            <w:tcBorders>
              <w:left w:val="nil"/>
              <w:bottom w:val="single" w:color="000000" w:sz="4" w:space="0"/>
              <w:right w:val="nil"/>
            </w:tcBorders>
            <w:vAlign w:val="top"/>
          </w:tcPr>
          <w:p>
            <w:pPr>
              <w:pStyle w:val="10"/>
              <w:spacing w:line="240" w:lineRule="exact"/>
              <w:ind w:firstLine="0" w:firstLineChars="0"/>
              <w:jc w:val="center"/>
              <w:rPr>
                <w:rFonts w:hAnsi="宋体"/>
                <w:sz w:val="18"/>
                <w:szCs w:val="18"/>
              </w:rPr>
            </w:pPr>
            <w:r>
              <w:rPr>
                <w:rFonts w:hint="eastAsia" w:hAnsi="宋体"/>
                <w:sz w:val="18"/>
                <w:szCs w:val="18"/>
              </w:rPr>
              <w:t>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65" w:type="dxa"/>
            <w:tcBorders>
              <w:left w:val="nil"/>
              <w:bottom w:val="nil"/>
              <w:right w:val="nil"/>
            </w:tcBorders>
            <w:shd w:val="clear" w:color="auto" w:fill="E6E6E6"/>
            <w:vAlign w:val="top"/>
          </w:tcPr>
          <w:p>
            <w:pPr>
              <w:pStyle w:val="10"/>
              <w:spacing w:line="240" w:lineRule="exact"/>
              <w:ind w:firstLine="0" w:firstLineChars="0"/>
              <w:jc w:val="center"/>
              <w:rPr>
                <w:rFonts w:hAnsi="宋体"/>
                <w:sz w:val="18"/>
                <w:szCs w:val="18"/>
              </w:rPr>
            </w:pPr>
            <w:r>
              <w:rPr>
                <w:rFonts w:hint="eastAsia" w:hAnsi="宋体"/>
                <w:sz w:val="18"/>
                <w:szCs w:val="18"/>
              </w:rPr>
              <w:t>年龄</w:t>
            </w:r>
          </w:p>
        </w:tc>
        <w:tc>
          <w:tcPr>
            <w:tcW w:w="744" w:type="dxa"/>
            <w:tcBorders>
              <w:left w:val="nil"/>
              <w:bottom w:val="nil"/>
              <w:right w:val="nil"/>
            </w:tcBorders>
            <w:shd w:val="clear" w:color="auto" w:fill="E6E6E6"/>
            <w:vAlign w:val="top"/>
          </w:tcPr>
          <w:p>
            <w:pPr>
              <w:pStyle w:val="10"/>
              <w:spacing w:line="240" w:lineRule="exact"/>
              <w:ind w:firstLine="0" w:firstLineChars="0"/>
              <w:jc w:val="center"/>
              <w:rPr>
                <w:rFonts w:hAnsi="宋体"/>
                <w:sz w:val="18"/>
                <w:szCs w:val="18"/>
              </w:rPr>
            </w:pPr>
            <w:r>
              <w:rPr>
                <w:rFonts w:hint="eastAsia" w:hAnsi="宋体"/>
                <w:sz w:val="18"/>
                <w:szCs w:val="18"/>
              </w:rPr>
              <w:t>500</w:t>
            </w:r>
          </w:p>
        </w:tc>
        <w:tc>
          <w:tcPr>
            <w:tcW w:w="943" w:type="dxa"/>
            <w:tcBorders>
              <w:left w:val="nil"/>
              <w:bottom w:val="nil"/>
              <w:right w:val="nil"/>
            </w:tcBorders>
            <w:shd w:val="clear" w:color="auto" w:fill="E6E6E6"/>
            <w:vAlign w:val="top"/>
          </w:tcPr>
          <w:p>
            <w:pPr>
              <w:pStyle w:val="10"/>
              <w:spacing w:line="240" w:lineRule="exact"/>
              <w:ind w:firstLine="0" w:firstLineChars="0"/>
              <w:jc w:val="center"/>
              <w:rPr>
                <w:rFonts w:hAnsi="宋体"/>
                <w:sz w:val="18"/>
                <w:szCs w:val="18"/>
              </w:rPr>
            </w:pPr>
            <w:r>
              <w:rPr>
                <w:rFonts w:hint="eastAsia" w:hAnsi="宋体"/>
                <w:sz w:val="18"/>
                <w:szCs w:val="18"/>
              </w:rPr>
              <w:t>1000</w:t>
            </w:r>
          </w:p>
        </w:tc>
        <w:tc>
          <w:tcPr>
            <w:tcW w:w="850" w:type="dxa"/>
            <w:tcBorders>
              <w:left w:val="nil"/>
              <w:bottom w:val="nil"/>
              <w:right w:val="nil"/>
            </w:tcBorders>
            <w:shd w:val="clear" w:color="auto" w:fill="E6E6E6"/>
            <w:vAlign w:val="top"/>
          </w:tcPr>
          <w:p>
            <w:pPr>
              <w:pStyle w:val="10"/>
              <w:spacing w:line="240" w:lineRule="exact"/>
              <w:ind w:firstLine="0" w:firstLineChars="0"/>
              <w:jc w:val="center"/>
              <w:rPr>
                <w:rFonts w:hAnsi="宋体"/>
                <w:sz w:val="18"/>
                <w:szCs w:val="18"/>
              </w:rPr>
            </w:pPr>
            <w:r>
              <w:rPr>
                <w:rFonts w:hint="eastAsia" w:hAnsi="宋体"/>
                <w:sz w:val="18"/>
                <w:szCs w:val="18"/>
              </w:rPr>
              <w:t>2000</w:t>
            </w:r>
          </w:p>
        </w:tc>
        <w:tc>
          <w:tcPr>
            <w:tcW w:w="709" w:type="dxa"/>
            <w:tcBorders>
              <w:left w:val="nil"/>
              <w:bottom w:val="nil"/>
              <w:right w:val="nil"/>
            </w:tcBorders>
            <w:shd w:val="clear" w:color="auto" w:fill="E6E6E6"/>
            <w:vAlign w:val="top"/>
          </w:tcPr>
          <w:p>
            <w:pPr>
              <w:pStyle w:val="10"/>
              <w:spacing w:line="240" w:lineRule="exact"/>
              <w:ind w:firstLine="0" w:firstLineChars="0"/>
              <w:jc w:val="center"/>
              <w:rPr>
                <w:rFonts w:hAnsi="宋体"/>
                <w:sz w:val="18"/>
                <w:szCs w:val="18"/>
              </w:rPr>
            </w:pPr>
            <w:r>
              <w:rPr>
                <w:rFonts w:hint="eastAsia" w:hAnsi="宋体"/>
                <w:sz w:val="18"/>
                <w:szCs w:val="18"/>
              </w:rPr>
              <w:t>4000</w:t>
            </w:r>
          </w:p>
        </w:tc>
        <w:tc>
          <w:tcPr>
            <w:tcW w:w="283" w:type="dxa"/>
            <w:tcBorders>
              <w:left w:val="nil"/>
              <w:bottom w:val="nil"/>
              <w:right w:val="nil"/>
            </w:tcBorders>
            <w:shd w:val="clear" w:color="auto" w:fill="E6E6E6"/>
            <w:vAlign w:val="top"/>
          </w:tcPr>
          <w:p>
            <w:pPr>
              <w:pStyle w:val="10"/>
              <w:spacing w:line="240" w:lineRule="exact"/>
              <w:ind w:firstLine="0" w:firstLineChars="0"/>
              <w:jc w:val="center"/>
              <w:rPr>
                <w:rFonts w:hAnsi="宋体"/>
                <w:sz w:val="18"/>
                <w:szCs w:val="18"/>
              </w:rPr>
            </w:pPr>
          </w:p>
        </w:tc>
        <w:tc>
          <w:tcPr>
            <w:tcW w:w="780" w:type="dxa"/>
            <w:tcBorders>
              <w:left w:val="nil"/>
              <w:bottom w:val="nil"/>
              <w:right w:val="nil"/>
            </w:tcBorders>
            <w:shd w:val="clear" w:color="auto" w:fill="E6E6E6"/>
            <w:vAlign w:val="top"/>
          </w:tcPr>
          <w:p>
            <w:pPr>
              <w:pStyle w:val="10"/>
              <w:spacing w:line="240" w:lineRule="exact"/>
              <w:ind w:firstLine="0" w:firstLineChars="0"/>
              <w:jc w:val="center"/>
              <w:rPr>
                <w:rFonts w:hAnsi="宋体"/>
                <w:sz w:val="18"/>
                <w:szCs w:val="18"/>
              </w:rPr>
            </w:pPr>
            <w:r>
              <w:rPr>
                <w:rFonts w:hint="eastAsia" w:hAnsi="宋体"/>
                <w:sz w:val="18"/>
                <w:szCs w:val="18"/>
              </w:rPr>
              <w:t>500</w:t>
            </w:r>
          </w:p>
        </w:tc>
        <w:tc>
          <w:tcPr>
            <w:tcW w:w="850" w:type="dxa"/>
            <w:tcBorders>
              <w:left w:val="nil"/>
              <w:bottom w:val="nil"/>
              <w:right w:val="nil"/>
            </w:tcBorders>
            <w:shd w:val="clear" w:color="auto" w:fill="E6E6E6"/>
            <w:vAlign w:val="top"/>
          </w:tcPr>
          <w:p>
            <w:pPr>
              <w:pStyle w:val="10"/>
              <w:spacing w:line="240" w:lineRule="exact"/>
              <w:ind w:firstLine="0" w:firstLineChars="0"/>
              <w:jc w:val="center"/>
              <w:rPr>
                <w:rFonts w:hAnsi="宋体"/>
                <w:sz w:val="18"/>
                <w:szCs w:val="18"/>
              </w:rPr>
            </w:pPr>
            <w:r>
              <w:rPr>
                <w:rFonts w:hint="eastAsia" w:hAnsi="宋体"/>
                <w:sz w:val="18"/>
                <w:szCs w:val="18"/>
              </w:rPr>
              <w:t>1000</w:t>
            </w:r>
          </w:p>
        </w:tc>
        <w:tc>
          <w:tcPr>
            <w:tcW w:w="922" w:type="dxa"/>
            <w:tcBorders>
              <w:left w:val="nil"/>
              <w:bottom w:val="nil"/>
              <w:right w:val="nil"/>
            </w:tcBorders>
            <w:shd w:val="clear" w:color="auto" w:fill="E6E6E6"/>
            <w:vAlign w:val="top"/>
          </w:tcPr>
          <w:p>
            <w:pPr>
              <w:pStyle w:val="10"/>
              <w:spacing w:line="240" w:lineRule="exact"/>
              <w:ind w:firstLine="0" w:firstLineChars="0"/>
              <w:jc w:val="center"/>
              <w:rPr>
                <w:rFonts w:hAnsi="宋体"/>
                <w:sz w:val="18"/>
                <w:szCs w:val="18"/>
              </w:rPr>
            </w:pPr>
            <w:r>
              <w:rPr>
                <w:rFonts w:hint="eastAsia" w:hAnsi="宋体"/>
                <w:sz w:val="18"/>
                <w:szCs w:val="18"/>
              </w:rPr>
              <w:t>2000</w:t>
            </w:r>
          </w:p>
        </w:tc>
        <w:tc>
          <w:tcPr>
            <w:tcW w:w="922" w:type="dxa"/>
            <w:tcBorders>
              <w:left w:val="nil"/>
              <w:bottom w:val="nil"/>
              <w:right w:val="nil"/>
            </w:tcBorders>
            <w:shd w:val="clear" w:color="auto" w:fill="E6E6E6"/>
            <w:vAlign w:val="top"/>
          </w:tcPr>
          <w:p>
            <w:pPr>
              <w:pStyle w:val="10"/>
              <w:spacing w:line="240" w:lineRule="exact"/>
              <w:ind w:firstLine="0" w:firstLineChars="0"/>
              <w:jc w:val="center"/>
              <w:rPr>
                <w:rFonts w:hAnsi="宋体"/>
                <w:sz w:val="18"/>
                <w:szCs w:val="18"/>
              </w:rPr>
            </w:pPr>
            <w:r>
              <w:rPr>
                <w:rFonts w:hint="eastAsia" w:hAnsi="宋体"/>
                <w:sz w:val="18"/>
                <w:szCs w:val="18"/>
              </w:rPr>
              <w:t>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65" w:type="dxa"/>
            <w:tcBorders>
              <w:top w:val="nil"/>
              <w:left w:val="nil"/>
              <w:bottom w:val="nil"/>
              <w:right w:val="nil"/>
            </w:tcBorders>
            <w:vAlign w:val="top"/>
          </w:tcPr>
          <w:p>
            <w:pPr>
              <w:pStyle w:val="10"/>
              <w:spacing w:line="240" w:lineRule="exact"/>
              <w:ind w:firstLine="0" w:firstLineChars="0"/>
              <w:jc w:val="center"/>
              <w:rPr>
                <w:rFonts w:hAnsi="宋体"/>
                <w:sz w:val="18"/>
                <w:szCs w:val="18"/>
              </w:rPr>
            </w:pPr>
            <w:r>
              <w:rPr>
                <w:rFonts w:hint="eastAsia" w:hAnsi="宋体"/>
                <w:sz w:val="18"/>
                <w:szCs w:val="18"/>
              </w:rPr>
              <w:t>30～39</w:t>
            </w:r>
          </w:p>
        </w:tc>
        <w:tc>
          <w:tcPr>
            <w:tcW w:w="744" w:type="dxa"/>
            <w:tcBorders>
              <w:top w:val="nil"/>
              <w:left w:val="nil"/>
              <w:bottom w:val="nil"/>
              <w:right w:val="nil"/>
            </w:tcBorders>
            <w:vAlign w:val="top"/>
          </w:tcPr>
          <w:p>
            <w:pPr>
              <w:pStyle w:val="10"/>
              <w:spacing w:line="240" w:lineRule="exact"/>
              <w:ind w:firstLine="0" w:firstLineChars="0"/>
              <w:jc w:val="center"/>
              <w:rPr>
                <w:rFonts w:hAnsi="宋体"/>
                <w:sz w:val="18"/>
                <w:szCs w:val="18"/>
              </w:rPr>
            </w:pPr>
            <w:r>
              <w:rPr>
                <w:rFonts w:hint="eastAsia" w:hAnsi="宋体"/>
                <w:sz w:val="18"/>
                <w:szCs w:val="18"/>
              </w:rPr>
              <w:t>1</w:t>
            </w:r>
          </w:p>
        </w:tc>
        <w:tc>
          <w:tcPr>
            <w:tcW w:w="943" w:type="dxa"/>
            <w:tcBorders>
              <w:top w:val="nil"/>
              <w:left w:val="nil"/>
              <w:bottom w:val="nil"/>
              <w:right w:val="nil"/>
            </w:tcBorders>
            <w:vAlign w:val="top"/>
          </w:tcPr>
          <w:p>
            <w:pPr>
              <w:pStyle w:val="10"/>
              <w:spacing w:line="240" w:lineRule="exact"/>
              <w:ind w:firstLine="0" w:firstLineChars="0"/>
              <w:jc w:val="center"/>
              <w:rPr>
                <w:rFonts w:hAnsi="宋体"/>
                <w:sz w:val="18"/>
                <w:szCs w:val="18"/>
              </w:rPr>
            </w:pPr>
            <w:r>
              <w:rPr>
                <w:rFonts w:hint="eastAsia" w:hAnsi="宋体"/>
                <w:sz w:val="18"/>
                <w:szCs w:val="18"/>
              </w:rPr>
              <w:t>1</w:t>
            </w:r>
          </w:p>
        </w:tc>
        <w:tc>
          <w:tcPr>
            <w:tcW w:w="850" w:type="dxa"/>
            <w:tcBorders>
              <w:top w:val="nil"/>
              <w:left w:val="nil"/>
              <w:bottom w:val="nil"/>
              <w:right w:val="nil"/>
            </w:tcBorders>
            <w:vAlign w:val="top"/>
          </w:tcPr>
          <w:p>
            <w:pPr>
              <w:pStyle w:val="10"/>
              <w:spacing w:line="240" w:lineRule="exact"/>
              <w:ind w:firstLine="0" w:firstLineChars="0"/>
              <w:jc w:val="center"/>
              <w:rPr>
                <w:rFonts w:hAnsi="宋体"/>
                <w:sz w:val="18"/>
                <w:szCs w:val="18"/>
              </w:rPr>
            </w:pPr>
            <w:r>
              <w:rPr>
                <w:rFonts w:hint="eastAsia" w:hAnsi="宋体"/>
                <w:sz w:val="18"/>
                <w:szCs w:val="18"/>
              </w:rPr>
              <w:t>1</w:t>
            </w:r>
          </w:p>
        </w:tc>
        <w:tc>
          <w:tcPr>
            <w:tcW w:w="709" w:type="dxa"/>
            <w:tcBorders>
              <w:top w:val="nil"/>
              <w:left w:val="nil"/>
              <w:bottom w:val="nil"/>
              <w:right w:val="nil"/>
            </w:tcBorders>
            <w:vAlign w:val="top"/>
          </w:tcPr>
          <w:p>
            <w:pPr>
              <w:pStyle w:val="10"/>
              <w:spacing w:line="240" w:lineRule="exact"/>
              <w:ind w:firstLine="0" w:firstLineChars="0"/>
              <w:jc w:val="center"/>
              <w:rPr>
                <w:rFonts w:hAnsi="宋体"/>
                <w:sz w:val="18"/>
                <w:szCs w:val="18"/>
              </w:rPr>
            </w:pPr>
            <w:r>
              <w:rPr>
                <w:rFonts w:hint="eastAsia" w:hAnsi="宋体"/>
                <w:sz w:val="18"/>
                <w:szCs w:val="18"/>
              </w:rPr>
              <w:t>2</w:t>
            </w:r>
          </w:p>
        </w:tc>
        <w:tc>
          <w:tcPr>
            <w:tcW w:w="283" w:type="dxa"/>
            <w:tcBorders>
              <w:top w:val="nil"/>
              <w:left w:val="nil"/>
              <w:bottom w:val="nil"/>
              <w:right w:val="nil"/>
            </w:tcBorders>
            <w:vAlign w:val="top"/>
          </w:tcPr>
          <w:p>
            <w:pPr>
              <w:pStyle w:val="10"/>
              <w:spacing w:line="240" w:lineRule="exact"/>
              <w:ind w:firstLine="0" w:firstLineChars="0"/>
              <w:jc w:val="center"/>
              <w:rPr>
                <w:rFonts w:hAnsi="宋体"/>
                <w:sz w:val="18"/>
                <w:szCs w:val="18"/>
              </w:rPr>
            </w:pPr>
          </w:p>
        </w:tc>
        <w:tc>
          <w:tcPr>
            <w:tcW w:w="780" w:type="dxa"/>
            <w:tcBorders>
              <w:top w:val="nil"/>
              <w:left w:val="nil"/>
              <w:bottom w:val="nil"/>
              <w:right w:val="nil"/>
            </w:tcBorders>
            <w:vAlign w:val="top"/>
          </w:tcPr>
          <w:p>
            <w:pPr>
              <w:pStyle w:val="10"/>
              <w:spacing w:line="240" w:lineRule="exact"/>
              <w:ind w:firstLine="0" w:firstLineChars="0"/>
              <w:jc w:val="center"/>
              <w:rPr>
                <w:rFonts w:hAnsi="宋体"/>
                <w:sz w:val="18"/>
                <w:szCs w:val="18"/>
              </w:rPr>
            </w:pPr>
            <w:r>
              <w:rPr>
                <w:rFonts w:hint="eastAsia" w:hAnsi="宋体"/>
                <w:sz w:val="18"/>
                <w:szCs w:val="18"/>
              </w:rPr>
              <w:t>1</w:t>
            </w:r>
          </w:p>
        </w:tc>
        <w:tc>
          <w:tcPr>
            <w:tcW w:w="850" w:type="dxa"/>
            <w:tcBorders>
              <w:top w:val="nil"/>
              <w:left w:val="nil"/>
              <w:bottom w:val="nil"/>
              <w:right w:val="nil"/>
            </w:tcBorders>
            <w:vAlign w:val="top"/>
          </w:tcPr>
          <w:p>
            <w:pPr>
              <w:pStyle w:val="10"/>
              <w:spacing w:line="240" w:lineRule="exact"/>
              <w:ind w:firstLine="0" w:firstLineChars="0"/>
              <w:jc w:val="center"/>
              <w:rPr>
                <w:rFonts w:hAnsi="宋体"/>
                <w:sz w:val="18"/>
                <w:szCs w:val="18"/>
              </w:rPr>
            </w:pPr>
            <w:r>
              <w:rPr>
                <w:rFonts w:hint="eastAsia" w:hAnsi="宋体"/>
                <w:sz w:val="18"/>
                <w:szCs w:val="18"/>
              </w:rPr>
              <w:t>1</w:t>
            </w:r>
          </w:p>
        </w:tc>
        <w:tc>
          <w:tcPr>
            <w:tcW w:w="922" w:type="dxa"/>
            <w:tcBorders>
              <w:top w:val="nil"/>
              <w:left w:val="nil"/>
              <w:bottom w:val="nil"/>
              <w:right w:val="nil"/>
            </w:tcBorders>
            <w:vAlign w:val="top"/>
          </w:tcPr>
          <w:p>
            <w:pPr>
              <w:pStyle w:val="10"/>
              <w:spacing w:line="240" w:lineRule="exact"/>
              <w:ind w:firstLine="0" w:firstLineChars="0"/>
              <w:jc w:val="center"/>
              <w:rPr>
                <w:rFonts w:hAnsi="宋体"/>
                <w:sz w:val="18"/>
                <w:szCs w:val="18"/>
              </w:rPr>
            </w:pPr>
            <w:r>
              <w:rPr>
                <w:rFonts w:hint="eastAsia" w:hAnsi="宋体"/>
                <w:sz w:val="18"/>
                <w:szCs w:val="18"/>
              </w:rPr>
              <w:t>1</w:t>
            </w:r>
          </w:p>
        </w:tc>
        <w:tc>
          <w:tcPr>
            <w:tcW w:w="922" w:type="dxa"/>
            <w:tcBorders>
              <w:top w:val="nil"/>
              <w:left w:val="nil"/>
              <w:bottom w:val="nil"/>
              <w:right w:val="nil"/>
            </w:tcBorders>
            <w:vAlign w:val="top"/>
          </w:tcPr>
          <w:p>
            <w:pPr>
              <w:pStyle w:val="10"/>
              <w:spacing w:line="240" w:lineRule="exact"/>
              <w:ind w:firstLine="0" w:firstLineChars="0"/>
              <w:jc w:val="center"/>
              <w:rPr>
                <w:rFonts w:hAnsi="宋体"/>
                <w:sz w:val="18"/>
                <w:szCs w:val="18"/>
              </w:rPr>
            </w:pPr>
            <w:r>
              <w:rPr>
                <w:rFonts w:hint="eastAsia" w:hAnsi="宋体"/>
                <w:sz w:val="18"/>
                <w:szCs w:val="1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1065" w:type="dxa"/>
            <w:tcBorders>
              <w:top w:val="nil"/>
              <w:left w:val="nil"/>
              <w:bottom w:val="nil"/>
              <w:right w:val="nil"/>
            </w:tcBorders>
            <w:shd w:val="clear" w:color="auto" w:fill="E6E6E6"/>
            <w:vAlign w:val="top"/>
          </w:tcPr>
          <w:p>
            <w:pPr>
              <w:pStyle w:val="10"/>
              <w:spacing w:line="240" w:lineRule="exact"/>
              <w:ind w:firstLine="0" w:firstLineChars="0"/>
              <w:jc w:val="center"/>
              <w:rPr>
                <w:rFonts w:hAnsi="宋体"/>
                <w:sz w:val="18"/>
                <w:szCs w:val="18"/>
              </w:rPr>
            </w:pPr>
            <w:r>
              <w:rPr>
                <w:rFonts w:hint="eastAsia" w:hAnsi="宋体"/>
                <w:sz w:val="18"/>
                <w:szCs w:val="18"/>
              </w:rPr>
              <w:t>40～49</w:t>
            </w:r>
          </w:p>
        </w:tc>
        <w:tc>
          <w:tcPr>
            <w:tcW w:w="744" w:type="dxa"/>
            <w:tcBorders>
              <w:top w:val="nil"/>
              <w:left w:val="nil"/>
              <w:bottom w:val="nil"/>
              <w:right w:val="nil"/>
            </w:tcBorders>
            <w:shd w:val="clear" w:color="auto" w:fill="E6E6E6"/>
            <w:vAlign w:val="top"/>
          </w:tcPr>
          <w:p>
            <w:pPr>
              <w:pStyle w:val="10"/>
              <w:spacing w:line="240" w:lineRule="exact"/>
              <w:ind w:firstLine="0" w:firstLineChars="0"/>
              <w:jc w:val="center"/>
              <w:rPr>
                <w:rFonts w:hAnsi="宋体"/>
                <w:sz w:val="18"/>
                <w:szCs w:val="18"/>
              </w:rPr>
            </w:pPr>
            <w:r>
              <w:rPr>
                <w:rFonts w:hint="eastAsia" w:hAnsi="宋体"/>
                <w:sz w:val="18"/>
                <w:szCs w:val="18"/>
              </w:rPr>
              <w:t>2</w:t>
            </w:r>
          </w:p>
        </w:tc>
        <w:tc>
          <w:tcPr>
            <w:tcW w:w="943" w:type="dxa"/>
            <w:tcBorders>
              <w:top w:val="nil"/>
              <w:left w:val="nil"/>
              <w:bottom w:val="nil"/>
              <w:right w:val="nil"/>
            </w:tcBorders>
            <w:shd w:val="clear" w:color="auto" w:fill="E6E6E6"/>
            <w:vAlign w:val="top"/>
          </w:tcPr>
          <w:p>
            <w:pPr>
              <w:pStyle w:val="10"/>
              <w:spacing w:line="240" w:lineRule="exact"/>
              <w:ind w:firstLine="0" w:firstLineChars="0"/>
              <w:jc w:val="center"/>
              <w:rPr>
                <w:rFonts w:hAnsi="宋体"/>
                <w:sz w:val="18"/>
                <w:szCs w:val="18"/>
              </w:rPr>
            </w:pPr>
            <w:r>
              <w:rPr>
                <w:rFonts w:hint="eastAsia" w:hAnsi="宋体"/>
                <w:sz w:val="18"/>
                <w:szCs w:val="18"/>
              </w:rPr>
              <w:t>2</w:t>
            </w:r>
          </w:p>
        </w:tc>
        <w:tc>
          <w:tcPr>
            <w:tcW w:w="850" w:type="dxa"/>
            <w:tcBorders>
              <w:top w:val="nil"/>
              <w:left w:val="nil"/>
              <w:bottom w:val="nil"/>
              <w:right w:val="nil"/>
            </w:tcBorders>
            <w:shd w:val="clear" w:color="auto" w:fill="E6E6E6"/>
            <w:vAlign w:val="top"/>
          </w:tcPr>
          <w:p>
            <w:pPr>
              <w:pStyle w:val="10"/>
              <w:spacing w:line="240" w:lineRule="exact"/>
              <w:ind w:firstLine="0" w:firstLineChars="0"/>
              <w:jc w:val="center"/>
              <w:rPr>
                <w:rFonts w:hAnsi="宋体"/>
                <w:sz w:val="18"/>
                <w:szCs w:val="18"/>
              </w:rPr>
            </w:pPr>
            <w:r>
              <w:rPr>
                <w:rFonts w:hint="eastAsia" w:hAnsi="宋体"/>
                <w:sz w:val="18"/>
                <w:szCs w:val="18"/>
              </w:rPr>
              <w:t>3</w:t>
            </w:r>
          </w:p>
        </w:tc>
        <w:tc>
          <w:tcPr>
            <w:tcW w:w="709" w:type="dxa"/>
            <w:tcBorders>
              <w:top w:val="nil"/>
              <w:left w:val="nil"/>
              <w:bottom w:val="nil"/>
              <w:right w:val="nil"/>
            </w:tcBorders>
            <w:shd w:val="clear" w:color="auto" w:fill="E6E6E6"/>
            <w:vAlign w:val="top"/>
          </w:tcPr>
          <w:p>
            <w:pPr>
              <w:pStyle w:val="10"/>
              <w:spacing w:line="240" w:lineRule="exact"/>
              <w:ind w:firstLine="0" w:firstLineChars="0"/>
              <w:jc w:val="center"/>
              <w:rPr>
                <w:rFonts w:hAnsi="宋体"/>
                <w:sz w:val="18"/>
                <w:szCs w:val="18"/>
              </w:rPr>
            </w:pPr>
            <w:r>
              <w:rPr>
                <w:rFonts w:hint="eastAsia" w:hAnsi="宋体"/>
                <w:sz w:val="18"/>
                <w:szCs w:val="18"/>
              </w:rPr>
              <w:t>8</w:t>
            </w:r>
          </w:p>
        </w:tc>
        <w:tc>
          <w:tcPr>
            <w:tcW w:w="283" w:type="dxa"/>
            <w:tcBorders>
              <w:top w:val="nil"/>
              <w:left w:val="nil"/>
              <w:bottom w:val="nil"/>
              <w:right w:val="nil"/>
            </w:tcBorders>
            <w:shd w:val="clear" w:color="auto" w:fill="E6E6E6"/>
            <w:vAlign w:val="top"/>
          </w:tcPr>
          <w:p>
            <w:pPr>
              <w:pStyle w:val="10"/>
              <w:spacing w:line="240" w:lineRule="exact"/>
              <w:ind w:firstLine="0" w:firstLineChars="0"/>
              <w:jc w:val="center"/>
              <w:rPr>
                <w:rFonts w:hAnsi="宋体"/>
                <w:sz w:val="18"/>
                <w:szCs w:val="18"/>
              </w:rPr>
            </w:pPr>
          </w:p>
        </w:tc>
        <w:tc>
          <w:tcPr>
            <w:tcW w:w="780" w:type="dxa"/>
            <w:tcBorders>
              <w:top w:val="nil"/>
              <w:left w:val="nil"/>
              <w:bottom w:val="nil"/>
              <w:right w:val="nil"/>
            </w:tcBorders>
            <w:shd w:val="clear" w:color="auto" w:fill="E6E6E6"/>
            <w:vAlign w:val="top"/>
          </w:tcPr>
          <w:p>
            <w:pPr>
              <w:pStyle w:val="10"/>
              <w:spacing w:line="240" w:lineRule="exact"/>
              <w:ind w:firstLine="0" w:firstLineChars="0"/>
              <w:jc w:val="center"/>
              <w:rPr>
                <w:rFonts w:hAnsi="宋体"/>
                <w:sz w:val="18"/>
                <w:szCs w:val="18"/>
              </w:rPr>
            </w:pPr>
            <w:r>
              <w:rPr>
                <w:rFonts w:hint="eastAsia" w:hAnsi="宋体"/>
                <w:sz w:val="18"/>
                <w:szCs w:val="18"/>
              </w:rPr>
              <w:t>2</w:t>
            </w:r>
          </w:p>
        </w:tc>
        <w:tc>
          <w:tcPr>
            <w:tcW w:w="850" w:type="dxa"/>
            <w:tcBorders>
              <w:top w:val="nil"/>
              <w:left w:val="nil"/>
              <w:bottom w:val="nil"/>
              <w:right w:val="nil"/>
            </w:tcBorders>
            <w:shd w:val="clear" w:color="auto" w:fill="E6E6E6"/>
            <w:vAlign w:val="top"/>
          </w:tcPr>
          <w:p>
            <w:pPr>
              <w:pStyle w:val="10"/>
              <w:spacing w:line="240" w:lineRule="exact"/>
              <w:ind w:firstLine="0" w:firstLineChars="0"/>
              <w:jc w:val="center"/>
              <w:rPr>
                <w:rFonts w:hAnsi="宋体"/>
                <w:sz w:val="18"/>
                <w:szCs w:val="18"/>
              </w:rPr>
            </w:pPr>
            <w:r>
              <w:rPr>
                <w:rFonts w:hint="eastAsia" w:hAnsi="宋体"/>
                <w:sz w:val="18"/>
                <w:szCs w:val="18"/>
              </w:rPr>
              <w:t>2</w:t>
            </w:r>
          </w:p>
        </w:tc>
        <w:tc>
          <w:tcPr>
            <w:tcW w:w="922" w:type="dxa"/>
            <w:tcBorders>
              <w:top w:val="nil"/>
              <w:left w:val="nil"/>
              <w:bottom w:val="nil"/>
              <w:right w:val="nil"/>
            </w:tcBorders>
            <w:shd w:val="clear" w:color="auto" w:fill="E6E6E6"/>
            <w:vAlign w:val="top"/>
          </w:tcPr>
          <w:p>
            <w:pPr>
              <w:pStyle w:val="10"/>
              <w:spacing w:line="240" w:lineRule="exact"/>
              <w:ind w:firstLine="0" w:firstLineChars="0"/>
              <w:jc w:val="center"/>
              <w:rPr>
                <w:rFonts w:hAnsi="宋体"/>
                <w:sz w:val="18"/>
                <w:szCs w:val="18"/>
              </w:rPr>
            </w:pPr>
            <w:r>
              <w:rPr>
                <w:rFonts w:hint="eastAsia" w:hAnsi="宋体"/>
                <w:sz w:val="18"/>
                <w:szCs w:val="18"/>
              </w:rPr>
              <w:t>3</w:t>
            </w:r>
          </w:p>
        </w:tc>
        <w:tc>
          <w:tcPr>
            <w:tcW w:w="922" w:type="dxa"/>
            <w:tcBorders>
              <w:top w:val="nil"/>
              <w:left w:val="nil"/>
              <w:bottom w:val="nil"/>
              <w:right w:val="nil"/>
            </w:tcBorders>
            <w:shd w:val="clear" w:color="auto" w:fill="E6E6E6"/>
            <w:vAlign w:val="top"/>
          </w:tcPr>
          <w:p>
            <w:pPr>
              <w:pStyle w:val="10"/>
              <w:spacing w:line="240" w:lineRule="exact"/>
              <w:ind w:firstLine="0" w:firstLineChars="0"/>
              <w:jc w:val="center"/>
              <w:rPr>
                <w:rFonts w:hAnsi="宋体"/>
                <w:sz w:val="18"/>
                <w:szCs w:val="18"/>
              </w:rPr>
            </w:pPr>
            <w:r>
              <w:rPr>
                <w:rFonts w:hint="eastAsia" w:hAnsi="宋体"/>
                <w:sz w:val="18"/>
                <w:szCs w:val="1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65" w:type="dxa"/>
            <w:tcBorders>
              <w:top w:val="nil"/>
              <w:left w:val="nil"/>
              <w:bottom w:val="nil"/>
              <w:right w:val="nil"/>
            </w:tcBorders>
            <w:vAlign w:val="top"/>
          </w:tcPr>
          <w:p>
            <w:pPr>
              <w:pStyle w:val="10"/>
              <w:spacing w:line="240" w:lineRule="exact"/>
              <w:ind w:firstLine="0" w:firstLineChars="0"/>
              <w:jc w:val="center"/>
              <w:rPr>
                <w:rFonts w:hAnsi="宋体"/>
                <w:sz w:val="18"/>
                <w:szCs w:val="18"/>
              </w:rPr>
            </w:pPr>
            <w:r>
              <w:rPr>
                <w:rFonts w:hint="eastAsia" w:hAnsi="宋体"/>
                <w:sz w:val="18"/>
                <w:szCs w:val="18"/>
              </w:rPr>
              <w:t>50～59</w:t>
            </w:r>
          </w:p>
        </w:tc>
        <w:tc>
          <w:tcPr>
            <w:tcW w:w="744" w:type="dxa"/>
            <w:tcBorders>
              <w:top w:val="nil"/>
              <w:left w:val="nil"/>
              <w:bottom w:val="nil"/>
              <w:right w:val="nil"/>
            </w:tcBorders>
            <w:vAlign w:val="top"/>
          </w:tcPr>
          <w:p>
            <w:pPr>
              <w:pStyle w:val="10"/>
              <w:spacing w:line="240" w:lineRule="exact"/>
              <w:ind w:firstLine="0" w:firstLineChars="0"/>
              <w:jc w:val="center"/>
              <w:rPr>
                <w:rFonts w:hAnsi="宋体"/>
                <w:sz w:val="18"/>
                <w:szCs w:val="18"/>
              </w:rPr>
            </w:pPr>
            <w:r>
              <w:rPr>
                <w:rFonts w:hint="eastAsia" w:hAnsi="宋体"/>
                <w:sz w:val="18"/>
                <w:szCs w:val="18"/>
              </w:rPr>
              <w:t>4</w:t>
            </w:r>
          </w:p>
        </w:tc>
        <w:tc>
          <w:tcPr>
            <w:tcW w:w="943" w:type="dxa"/>
            <w:tcBorders>
              <w:top w:val="nil"/>
              <w:left w:val="nil"/>
              <w:bottom w:val="nil"/>
              <w:right w:val="nil"/>
            </w:tcBorders>
            <w:vAlign w:val="top"/>
          </w:tcPr>
          <w:p>
            <w:pPr>
              <w:pStyle w:val="10"/>
              <w:spacing w:line="240" w:lineRule="exact"/>
              <w:ind w:firstLine="0" w:firstLineChars="0"/>
              <w:jc w:val="center"/>
              <w:rPr>
                <w:rFonts w:hAnsi="宋体"/>
                <w:sz w:val="18"/>
                <w:szCs w:val="18"/>
              </w:rPr>
            </w:pPr>
            <w:r>
              <w:rPr>
                <w:rFonts w:hint="eastAsia" w:hAnsi="宋体"/>
                <w:sz w:val="18"/>
                <w:szCs w:val="18"/>
              </w:rPr>
              <w:t>4</w:t>
            </w:r>
          </w:p>
        </w:tc>
        <w:tc>
          <w:tcPr>
            <w:tcW w:w="850" w:type="dxa"/>
            <w:tcBorders>
              <w:top w:val="nil"/>
              <w:left w:val="nil"/>
              <w:bottom w:val="nil"/>
              <w:right w:val="nil"/>
            </w:tcBorders>
            <w:vAlign w:val="top"/>
          </w:tcPr>
          <w:p>
            <w:pPr>
              <w:pStyle w:val="10"/>
              <w:spacing w:line="240" w:lineRule="exact"/>
              <w:ind w:firstLine="0" w:firstLineChars="0"/>
              <w:jc w:val="center"/>
              <w:rPr>
                <w:rFonts w:hAnsi="宋体"/>
                <w:sz w:val="18"/>
                <w:szCs w:val="18"/>
              </w:rPr>
            </w:pPr>
            <w:r>
              <w:rPr>
                <w:rFonts w:hint="eastAsia" w:hAnsi="宋体"/>
                <w:sz w:val="18"/>
                <w:szCs w:val="18"/>
              </w:rPr>
              <w:t>7</w:t>
            </w:r>
          </w:p>
        </w:tc>
        <w:tc>
          <w:tcPr>
            <w:tcW w:w="709" w:type="dxa"/>
            <w:tcBorders>
              <w:top w:val="nil"/>
              <w:left w:val="nil"/>
              <w:bottom w:val="nil"/>
              <w:right w:val="nil"/>
            </w:tcBorders>
            <w:vAlign w:val="top"/>
          </w:tcPr>
          <w:p>
            <w:pPr>
              <w:pStyle w:val="10"/>
              <w:spacing w:line="240" w:lineRule="exact"/>
              <w:ind w:firstLine="0" w:firstLineChars="0"/>
              <w:jc w:val="center"/>
              <w:rPr>
                <w:rFonts w:hAnsi="宋体"/>
                <w:sz w:val="18"/>
                <w:szCs w:val="18"/>
              </w:rPr>
            </w:pPr>
            <w:r>
              <w:rPr>
                <w:rFonts w:hint="eastAsia" w:hAnsi="宋体"/>
                <w:sz w:val="18"/>
                <w:szCs w:val="18"/>
              </w:rPr>
              <w:t>16</w:t>
            </w:r>
          </w:p>
        </w:tc>
        <w:tc>
          <w:tcPr>
            <w:tcW w:w="283" w:type="dxa"/>
            <w:tcBorders>
              <w:top w:val="nil"/>
              <w:left w:val="nil"/>
              <w:bottom w:val="nil"/>
              <w:right w:val="nil"/>
            </w:tcBorders>
            <w:vAlign w:val="top"/>
          </w:tcPr>
          <w:p>
            <w:pPr>
              <w:pStyle w:val="10"/>
              <w:spacing w:line="240" w:lineRule="exact"/>
              <w:ind w:firstLine="0" w:firstLineChars="0"/>
              <w:jc w:val="center"/>
              <w:rPr>
                <w:rFonts w:hAnsi="宋体"/>
                <w:sz w:val="18"/>
                <w:szCs w:val="18"/>
              </w:rPr>
            </w:pPr>
          </w:p>
        </w:tc>
        <w:tc>
          <w:tcPr>
            <w:tcW w:w="780" w:type="dxa"/>
            <w:tcBorders>
              <w:top w:val="nil"/>
              <w:left w:val="nil"/>
              <w:bottom w:val="nil"/>
              <w:right w:val="nil"/>
            </w:tcBorders>
            <w:vAlign w:val="top"/>
          </w:tcPr>
          <w:p>
            <w:pPr>
              <w:pStyle w:val="10"/>
              <w:spacing w:line="240" w:lineRule="exact"/>
              <w:ind w:firstLine="0" w:firstLineChars="0"/>
              <w:jc w:val="center"/>
              <w:rPr>
                <w:rFonts w:hAnsi="宋体"/>
                <w:sz w:val="18"/>
                <w:szCs w:val="18"/>
              </w:rPr>
            </w:pPr>
            <w:r>
              <w:rPr>
                <w:rFonts w:hint="eastAsia" w:hAnsi="宋体"/>
                <w:sz w:val="18"/>
                <w:szCs w:val="18"/>
              </w:rPr>
              <w:t>4</w:t>
            </w:r>
          </w:p>
        </w:tc>
        <w:tc>
          <w:tcPr>
            <w:tcW w:w="850" w:type="dxa"/>
            <w:tcBorders>
              <w:top w:val="nil"/>
              <w:left w:val="nil"/>
              <w:bottom w:val="nil"/>
              <w:right w:val="nil"/>
            </w:tcBorders>
            <w:vAlign w:val="top"/>
          </w:tcPr>
          <w:p>
            <w:pPr>
              <w:pStyle w:val="10"/>
              <w:spacing w:line="240" w:lineRule="exact"/>
              <w:ind w:firstLine="0" w:firstLineChars="0"/>
              <w:jc w:val="center"/>
              <w:rPr>
                <w:rFonts w:hAnsi="宋体"/>
                <w:sz w:val="18"/>
                <w:szCs w:val="18"/>
              </w:rPr>
            </w:pPr>
            <w:r>
              <w:rPr>
                <w:rFonts w:hint="eastAsia" w:hAnsi="宋体"/>
                <w:sz w:val="18"/>
                <w:szCs w:val="18"/>
              </w:rPr>
              <w:t>4</w:t>
            </w:r>
          </w:p>
        </w:tc>
        <w:tc>
          <w:tcPr>
            <w:tcW w:w="922" w:type="dxa"/>
            <w:tcBorders>
              <w:top w:val="nil"/>
              <w:left w:val="nil"/>
              <w:bottom w:val="nil"/>
              <w:right w:val="nil"/>
            </w:tcBorders>
            <w:vAlign w:val="top"/>
          </w:tcPr>
          <w:p>
            <w:pPr>
              <w:pStyle w:val="10"/>
              <w:spacing w:line="240" w:lineRule="exact"/>
              <w:ind w:firstLine="0" w:firstLineChars="0"/>
              <w:jc w:val="center"/>
              <w:rPr>
                <w:rFonts w:hAnsi="宋体"/>
                <w:sz w:val="18"/>
                <w:szCs w:val="18"/>
              </w:rPr>
            </w:pPr>
            <w:r>
              <w:rPr>
                <w:rFonts w:hint="eastAsia" w:hAnsi="宋体"/>
                <w:sz w:val="18"/>
                <w:szCs w:val="18"/>
              </w:rPr>
              <w:t>6</w:t>
            </w:r>
          </w:p>
        </w:tc>
        <w:tc>
          <w:tcPr>
            <w:tcW w:w="922" w:type="dxa"/>
            <w:tcBorders>
              <w:top w:val="nil"/>
              <w:left w:val="nil"/>
              <w:bottom w:val="nil"/>
              <w:right w:val="nil"/>
            </w:tcBorders>
            <w:vAlign w:val="top"/>
          </w:tcPr>
          <w:p>
            <w:pPr>
              <w:pStyle w:val="10"/>
              <w:spacing w:line="240" w:lineRule="exact"/>
              <w:ind w:firstLine="0" w:firstLineChars="0"/>
              <w:jc w:val="center"/>
              <w:rPr>
                <w:rFonts w:hAnsi="宋体"/>
                <w:sz w:val="18"/>
                <w:szCs w:val="18"/>
              </w:rPr>
            </w:pPr>
            <w:r>
              <w:rPr>
                <w:rFonts w:hint="eastAsia" w:hAnsi="宋体"/>
                <w:sz w:val="18"/>
                <w:szCs w:val="18"/>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65" w:type="dxa"/>
            <w:tcBorders>
              <w:top w:val="nil"/>
              <w:left w:val="nil"/>
              <w:bottom w:val="nil"/>
              <w:right w:val="nil"/>
            </w:tcBorders>
            <w:shd w:val="clear" w:color="auto" w:fill="E6E6E6"/>
            <w:vAlign w:val="top"/>
          </w:tcPr>
          <w:p>
            <w:pPr>
              <w:pStyle w:val="10"/>
              <w:spacing w:line="240" w:lineRule="exact"/>
              <w:ind w:firstLine="0" w:firstLineChars="0"/>
              <w:jc w:val="center"/>
              <w:rPr>
                <w:rFonts w:hAnsi="宋体"/>
                <w:sz w:val="18"/>
                <w:szCs w:val="18"/>
              </w:rPr>
            </w:pPr>
            <w:r>
              <w:rPr>
                <w:rFonts w:hint="eastAsia" w:hAnsi="宋体"/>
                <w:sz w:val="18"/>
                <w:szCs w:val="18"/>
              </w:rPr>
              <w:t>60～69</w:t>
            </w:r>
          </w:p>
        </w:tc>
        <w:tc>
          <w:tcPr>
            <w:tcW w:w="744" w:type="dxa"/>
            <w:tcBorders>
              <w:top w:val="nil"/>
              <w:left w:val="nil"/>
              <w:bottom w:val="nil"/>
              <w:right w:val="nil"/>
            </w:tcBorders>
            <w:shd w:val="clear" w:color="auto" w:fill="E6E6E6"/>
            <w:vAlign w:val="top"/>
          </w:tcPr>
          <w:p>
            <w:pPr>
              <w:pStyle w:val="10"/>
              <w:spacing w:line="240" w:lineRule="exact"/>
              <w:ind w:firstLine="0" w:firstLineChars="0"/>
              <w:jc w:val="center"/>
              <w:rPr>
                <w:rFonts w:hAnsi="宋体"/>
                <w:sz w:val="18"/>
                <w:szCs w:val="18"/>
              </w:rPr>
            </w:pPr>
            <w:r>
              <w:rPr>
                <w:rFonts w:hint="eastAsia" w:hAnsi="宋体"/>
                <w:sz w:val="18"/>
                <w:szCs w:val="18"/>
              </w:rPr>
              <w:t>6</w:t>
            </w:r>
          </w:p>
        </w:tc>
        <w:tc>
          <w:tcPr>
            <w:tcW w:w="943" w:type="dxa"/>
            <w:tcBorders>
              <w:top w:val="nil"/>
              <w:left w:val="nil"/>
              <w:bottom w:val="nil"/>
              <w:right w:val="nil"/>
            </w:tcBorders>
            <w:shd w:val="clear" w:color="auto" w:fill="E6E6E6"/>
            <w:vAlign w:val="top"/>
          </w:tcPr>
          <w:p>
            <w:pPr>
              <w:pStyle w:val="10"/>
              <w:spacing w:line="240" w:lineRule="exact"/>
              <w:ind w:firstLine="0" w:firstLineChars="0"/>
              <w:jc w:val="center"/>
              <w:rPr>
                <w:rFonts w:hAnsi="宋体"/>
                <w:sz w:val="18"/>
                <w:szCs w:val="18"/>
              </w:rPr>
            </w:pPr>
            <w:r>
              <w:rPr>
                <w:rFonts w:hint="eastAsia" w:hAnsi="宋体"/>
                <w:sz w:val="18"/>
                <w:szCs w:val="18"/>
              </w:rPr>
              <w:t>7</w:t>
            </w:r>
          </w:p>
        </w:tc>
        <w:tc>
          <w:tcPr>
            <w:tcW w:w="850" w:type="dxa"/>
            <w:tcBorders>
              <w:top w:val="nil"/>
              <w:left w:val="nil"/>
              <w:bottom w:val="nil"/>
              <w:right w:val="nil"/>
            </w:tcBorders>
            <w:shd w:val="clear" w:color="auto" w:fill="E6E6E6"/>
            <w:vAlign w:val="top"/>
          </w:tcPr>
          <w:p>
            <w:pPr>
              <w:pStyle w:val="10"/>
              <w:spacing w:line="240" w:lineRule="exact"/>
              <w:ind w:firstLine="0" w:firstLineChars="0"/>
              <w:jc w:val="center"/>
              <w:rPr>
                <w:rFonts w:hAnsi="宋体"/>
                <w:sz w:val="18"/>
                <w:szCs w:val="18"/>
              </w:rPr>
            </w:pPr>
            <w:r>
              <w:rPr>
                <w:rFonts w:hint="eastAsia" w:hAnsi="宋体"/>
                <w:sz w:val="18"/>
                <w:szCs w:val="18"/>
              </w:rPr>
              <w:t>12</w:t>
            </w:r>
          </w:p>
        </w:tc>
        <w:tc>
          <w:tcPr>
            <w:tcW w:w="709" w:type="dxa"/>
            <w:tcBorders>
              <w:top w:val="nil"/>
              <w:left w:val="nil"/>
              <w:bottom w:val="nil"/>
              <w:right w:val="nil"/>
            </w:tcBorders>
            <w:shd w:val="clear" w:color="auto" w:fill="E6E6E6"/>
            <w:vAlign w:val="top"/>
          </w:tcPr>
          <w:p>
            <w:pPr>
              <w:pStyle w:val="10"/>
              <w:spacing w:line="240" w:lineRule="exact"/>
              <w:ind w:firstLine="0" w:firstLineChars="0"/>
              <w:jc w:val="center"/>
              <w:rPr>
                <w:rFonts w:hAnsi="宋体"/>
                <w:sz w:val="18"/>
                <w:szCs w:val="18"/>
              </w:rPr>
            </w:pPr>
            <w:r>
              <w:rPr>
                <w:rFonts w:hint="eastAsia" w:hAnsi="宋体"/>
                <w:sz w:val="18"/>
                <w:szCs w:val="18"/>
              </w:rPr>
              <w:t>28</w:t>
            </w:r>
          </w:p>
        </w:tc>
        <w:tc>
          <w:tcPr>
            <w:tcW w:w="283" w:type="dxa"/>
            <w:tcBorders>
              <w:top w:val="nil"/>
              <w:left w:val="nil"/>
              <w:bottom w:val="nil"/>
              <w:right w:val="nil"/>
            </w:tcBorders>
            <w:shd w:val="clear" w:color="auto" w:fill="E6E6E6"/>
            <w:vAlign w:val="top"/>
          </w:tcPr>
          <w:p>
            <w:pPr>
              <w:pStyle w:val="10"/>
              <w:spacing w:line="240" w:lineRule="exact"/>
              <w:ind w:firstLine="0" w:firstLineChars="0"/>
              <w:jc w:val="center"/>
              <w:rPr>
                <w:rFonts w:hAnsi="宋体"/>
                <w:sz w:val="18"/>
                <w:szCs w:val="18"/>
              </w:rPr>
            </w:pPr>
          </w:p>
        </w:tc>
        <w:tc>
          <w:tcPr>
            <w:tcW w:w="780" w:type="dxa"/>
            <w:tcBorders>
              <w:top w:val="nil"/>
              <w:left w:val="nil"/>
              <w:bottom w:val="nil"/>
              <w:right w:val="nil"/>
            </w:tcBorders>
            <w:shd w:val="clear" w:color="auto" w:fill="E6E6E6"/>
            <w:vAlign w:val="top"/>
          </w:tcPr>
          <w:p>
            <w:pPr>
              <w:pStyle w:val="10"/>
              <w:spacing w:line="240" w:lineRule="exact"/>
              <w:ind w:firstLine="0" w:firstLineChars="0"/>
              <w:jc w:val="center"/>
              <w:rPr>
                <w:rFonts w:hAnsi="宋体"/>
                <w:sz w:val="18"/>
                <w:szCs w:val="18"/>
              </w:rPr>
            </w:pPr>
            <w:r>
              <w:rPr>
                <w:rFonts w:hint="eastAsia" w:hAnsi="宋体"/>
                <w:sz w:val="18"/>
                <w:szCs w:val="18"/>
              </w:rPr>
              <w:t>6</w:t>
            </w:r>
          </w:p>
        </w:tc>
        <w:tc>
          <w:tcPr>
            <w:tcW w:w="850" w:type="dxa"/>
            <w:tcBorders>
              <w:top w:val="nil"/>
              <w:left w:val="nil"/>
              <w:bottom w:val="nil"/>
              <w:right w:val="nil"/>
            </w:tcBorders>
            <w:shd w:val="clear" w:color="auto" w:fill="E6E6E6"/>
            <w:vAlign w:val="top"/>
          </w:tcPr>
          <w:p>
            <w:pPr>
              <w:pStyle w:val="10"/>
              <w:spacing w:line="240" w:lineRule="exact"/>
              <w:ind w:firstLine="0" w:firstLineChars="0"/>
              <w:jc w:val="center"/>
              <w:rPr>
                <w:rFonts w:hAnsi="宋体"/>
                <w:sz w:val="18"/>
                <w:szCs w:val="18"/>
              </w:rPr>
            </w:pPr>
            <w:r>
              <w:rPr>
                <w:rFonts w:hint="eastAsia" w:hAnsi="宋体"/>
                <w:sz w:val="18"/>
                <w:szCs w:val="18"/>
              </w:rPr>
              <w:t>7</w:t>
            </w:r>
          </w:p>
        </w:tc>
        <w:tc>
          <w:tcPr>
            <w:tcW w:w="922" w:type="dxa"/>
            <w:tcBorders>
              <w:top w:val="nil"/>
              <w:left w:val="nil"/>
              <w:bottom w:val="nil"/>
              <w:right w:val="nil"/>
            </w:tcBorders>
            <w:shd w:val="clear" w:color="auto" w:fill="E6E6E6"/>
            <w:vAlign w:val="top"/>
          </w:tcPr>
          <w:p>
            <w:pPr>
              <w:pStyle w:val="10"/>
              <w:spacing w:line="240" w:lineRule="exact"/>
              <w:ind w:firstLine="0" w:firstLineChars="0"/>
              <w:jc w:val="center"/>
              <w:rPr>
                <w:rFonts w:hAnsi="宋体"/>
                <w:sz w:val="18"/>
                <w:szCs w:val="18"/>
              </w:rPr>
            </w:pPr>
            <w:r>
              <w:rPr>
                <w:rFonts w:hint="eastAsia" w:hAnsi="宋体"/>
                <w:sz w:val="18"/>
                <w:szCs w:val="18"/>
              </w:rPr>
              <w:t>11</w:t>
            </w:r>
          </w:p>
        </w:tc>
        <w:tc>
          <w:tcPr>
            <w:tcW w:w="922" w:type="dxa"/>
            <w:tcBorders>
              <w:top w:val="nil"/>
              <w:left w:val="nil"/>
              <w:bottom w:val="nil"/>
              <w:right w:val="nil"/>
            </w:tcBorders>
            <w:shd w:val="clear" w:color="auto" w:fill="E6E6E6"/>
            <w:vAlign w:val="top"/>
          </w:tcPr>
          <w:p>
            <w:pPr>
              <w:pStyle w:val="10"/>
              <w:spacing w:line="240" w:lineRule="exact"/>
              <w:ind w:firstLine="0" w:firstLineChars="0"/>
              <w:jc w:val="center"/>
              <w:rPr>
                <w:rFonts w:hAnsi="宋体"/>
                <w:sz w:val="18"/>
                <w:szCs w:val="18"/>
              </w:rPr>
            </w:pPr>
            <w:r>
              <w:rPr>
                <w:rFonts w:hint="eastAsia" w:hAnsi="宋体"/>
                <w:sz w:val="18"/>
                <w:szCs w:val="18"/>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065" w:type="dxa"/>
            <w:tcBorders>
              <w:top w:val="nil"/>
              <w:left w:val="nil"/>
              <w:right w:val="nil"/>
            </w:tcBorders>
            <w:vAlign w:val="top"/>
          </w:tcPr>
          <w:p>
            <w:pPr>
              <w:pStyle w:val="10"/>
              <w:spacing w:line="240" w:lineRule="exact"/>
              <w:ind w:firstLine="0" w:firstLineChars="0"/>
              <w:jc w:val="center"/>
              <w:rPr>
                <w:rFonts w:hAnsi="宋体"/>
                <w:sz w:val="18"/>
                <w:szCs w:val="18"/>
              </w:rPr>
            </w:pPr>
            <w:r>
              <w:rPr>
                <w:rFonts w:hint="eastAsia" w:hAnsi="宋体"/>
                <w:sz w:val="18"/>
                <w:szCs w:val="18"/>
              </w:rPr>
              <w:t>70～</w:t>
            </w:r>
          </w:p>
        </w:tc>
        <w:tc>
          <w:tcPr>
            <w:tcW w:w="744" w:type="dxa"/>
            <w:tcBorders>
              <w:top w:val="nil"/>
              <w:left w:val="nil"/>
              <w:right w:val="nil"/>
            </w:tcBorders>
            <w:vAlign w:val="top"/>
          </w:tcPr>
          <w:p>
            <w:pPr>
              <w:pStyle w:val="10"/>
              <w:spacing w:line="240" w:lineRule="exact"/>
              <w:ind w:firstLine="0" w:firstLineChars="0"/>
              <w:jc w:val="center"/>
              <w:rPr>
                <w:rFonts w:hAnsi="宋体"/>
                <w:sz w:val="18"/>
                <w:szCs w:val="18"/>
              </w:rPr>
            </w:pPr>
            <w:r>
              <w:rPr>
                <w:rFonts w:hint="eastAsia" w:hAnsi="宋体"/>
                <w:sz w:val="18"/>
                <w:szCs w:val="18"/>
              </w:rPr>
              <w:t>9</w:t>
            </w:r>
          </w:p>
        </w:tc>
        <w:tc>
          <w:tcPr>
            <w:tcW w:w="943" w:type="dxa"/>
            <w:tcBorders>
              <w:top w:val="nil"/>
              <w:left w:val="nil"/>
              <w:right w:val="nil"/>
            </w:tcBorders>
            <w:vAlign w:val="top"/>
          </w:tcPr>
          <w:p>
            <w:pPr>
              <w:pStyle w:val="10"/>
              <w:spacing w:line="240" w:lineRule="exact"/>
              <w:ind w:firstLine="0" w:firstLineChars="0"/>
              <w:jc w:val="center"/>
              <w:rPr>
                <w:rFonts w:hAnsi="宋体"/>
                <w:sz w:val="18"/>
                <w:szCs w:val="18"/>
              </w:rPr>
            </w:pPr>
            <w:r>
              <w:rPr>
                <w:rFonts w:hint="eastAsia" w:hAnsi="宋体"/>
                <w:sz w:val="18"/>
                <w:szCs w:val="18"/>
              </w:rPr>
              <w:t>11</w:t>
            </w:r>
          </w:p>
        </w:tc>
        <w:tc>
          <w:tcPr>
            <w:tcW w:w="850" w:type="dxa"/>
            <w:tcBorders>
              <w:top w:val="nil"/>
              <w:left w:val="nil"/>
              <w:right w:val="nil"/>
            </w:tcBorders>
            <w:vAlign w:val="top"/>
          </w:tcPr>
          <w:p>
            <w:pPr>
              <w:pStyle w:val="10"/>
              <w:spacing w:line="240" w:lineRule="exact"/>
              <w:ind w:firstLine="0" w:firstLineChars="0"/>
              <w:jc w:val="center"/>
              <w:rPr>
                <w:rFonts w:hAnsi="宋体"/>
                <w:sz w:val="18"/>
                <w:szCs w:val="18"/>
              </w:rPr>
            </w:pPr>
            <w:r>
              <w:rPr>
                <w:rFonts w:hint="eastAsia" w:hAnsi="宋体"/>
                <w:sz w:val="18"/>
                <w:szCs w:val="18"/>
              </w:rPr>
              <w:t>19</w:t>
            </w:r>
          </w:p>
        </w:tc>
        <w:tc>
          <w:tcPr>
            <w:tcW w:w="709" w:type="dxa"/>
            <w:tcBorders>
              <w:top w:val="nil"/>
              <w:left w:val="nil"/>
              <w:right w:val="nil"/>
            </w:tcBorders>
            <w:vAlign w:val="top"/>
          </w:tcPr>
          <w:p>
            <w:pPr>
              <w:pStyle w:val="10"/>
              <w:spacing w:line="240" w:lineRule="exact"/>
              <w:ind w:firstLine="0" w:firstLineChars="0"/>
              <w:jc w:val="center"/>
              <w:rPr>
                <w:rFonts w:hAnsi="宋体"/>
                <w:sz w:val="18"/>
                <w:szCs w:val="18"/>
              </w:rPr>
            </w:pPr>
            <w:r>
              <w:rPr>
                <w:rFonts w:hint="eastAsia" w:hAnsi="宋体"/>
                <w:sz w:val="18"/>
                <w:szCs w:val="18"/>
              </w:rPr>
              <w:t>43</w:t>
            </w:r>
          </w:p>
        </w:tc>
        <w:tc>
          <w:tcPr>
            <w:tcW w:w="283" w:type="dxa"/>
            <w:tcBorders>
              <w:top w:val="nil"/>
              <w:left w:val="nil"/>
              <w:right w:val="nil"/>
            </w:tcBorders>
            <w:vAlign w:val="top"/>
          </w:tcPr>
          <w:p>
            <w:pPr>
              <w:pStyle w:val="10"/>
              <w:spacing w:line="240" w:lineRule="exact"/>
              <w:ind w:firstLine="0" w:firstLineChars="0"/>
              <w:jc w:val="center"/>
              <w:rPr>
                <w:rFonts w:hAnsi="宋体"/>
                <w:sz w:val="18"/>
                <w:szCs w:val="18"/>
              </w:rPr>
            </w:pPr>
          </w:p>
        </w:tc>
        <w:tc>
          <w:tcPr>
            <w:tcW w:w="780" w:type="dxa"/>
            <w:tcBorders>
              <w:top w:val="nil"/>
              <w:left w:val="nil"/>
              <w:right w:val="nil"/>
            </w:tcBorders>
            <w:vAlign w:val="top"/>
          </w:tcPr>
          <w:p>
            <w:pPr>
              <w:pStyle w:val="10"/>
              <w:spacing w:line="240" w:lineRule="exact"/>
              <w:ind w:firstLine="0" w:firstLineChars="0"/>
              <w:jc w:val="center"/>
              <w:rPr>
                <w:rFonts w:hAnsi="宋体"/>
                <w:sz w:val="18"/>
                <w:szCs w:val="18"/>
              </w:rPr>
            </w:pPr>
            <w:r>
              <w:rPr>
                <w:rFonts w:hint="eastAsia" w:hAnsi="宋体"/>
                <w:sz w:val="18"/>
                <w:szCs w:val="18"/>
              </w:rPr>
              <w:t>9</w:t>
            </w:r>
          </w:p>
        </w:tc>
        <w:tc>
          <w:tcPr>
            <w:tcW w:w="850" w:type="dxa"/>
            <w:tcBorders>
              <w:top w:val="nil"/>
              <w:left w:val="nil"/>
              <w:right w:val="nil"/>
            </w:tcBorders>
            <w:vAlign w:val="top"/>
          </w:tcPr>
          <w:p>
            <w:pPr>
              <w:pStyle w:val="10"/>
              <w:spacing w:line="240" w:lineRule="exact"/>
              <w:ind w:firstLine="0" w:firstLineChars="0"/>
              <w:jc w:val="center"/>
              <w:rPr>
                <w:rFonts w:hAnsi="宋体"/>
                <w:sz w:val="18"/>
                <w:szCs w:val="18"/>
              </w:rPr>
            </w:pPr>
            <w:r>
              <w:rPr>
                <w:rFonts w:hint="eastAsia" w:hAnsi="宋体"/>
                <w:sz w:val="18"/>
                <w:szCs w:val="18"/>
              </w:rPr>
              <w:t>11</w:t>
            </w:r>
          </w:p>
        </w:tc>
        <w:tc>
          <w:tcPr>
            <w:tcW w:w="922" w:type="dxa"/>
            <w:tcBorders>
              <w:top w:val="nil"/>
              <w:left w:val="nil"/>
              <w:right w:val="nil"/>
            </w:tcBorders>
            <w:vAlign w:val="top"/>
          </w:tcPr>
          <w:p>
            <w:pPr>
              <w:pStyle w:val="10"/>
              <w:spacing w:line="240" w:lineRule="exact"/>
              <w:ind w:firstLine="0" w:firstLineChars="0"/>
              <w:jc w:val="center"/>
              <w:rPr>
                <w:rFonts w:hAnsi="宋体"/>
                <w:sz w:val="18"/>
                <w:szCs w:val="18"/>
              </w:rPr>
            </w:pPr>
            <w:r>
              <w:rPr>
                <w:rFonts w:hint="eastAsia" w:hAnsi="宋体"/>
                <w:sz w:val="18"/>
                <w:szCs w:val="18"/>
              </w:rPr>
              <w:t>16</w:t>
            </w:r>
          </w:p>
        </w:tc>
        <w:tc>
          <w:tcPr>
            <w:tcW w:w="922" w:type="dxa"/>
            <w:tcBorders>
              <w:top w:val="nil"/>
              <w:left w:val="nil"/>
              <w:right w:val="nil"/>
            </w:tcBorders>
            <w:vAlign w:val="top"/>
          </w:tcPr>
          <w:p>
            <w:pPr>
              <w:pStyle w:val="10"/>
              <w:spacing w:line="240" w:lineRule="exact"/>
              <w:ind w:firstLine="0" w:firstLineChars="0"/>
              <w:jc w:val="center"/>
              <w:rPr>
                <w:rFonts w:hAnsi="宋体"/>
                <w:sz w:val="18"/>
                <w:szCs w:val="18"/>
              </w:rPr>
            </w:pPr>
            <w:r>
              <w:rPr>
                <w:rFonts w:hint="eastAsia" w:hAnsi="宋体"/>
                <w:sz w:val="18"/>
                <w:szCs w:val="18"/>
              </w:rPr>
              <w:t>24</w:t>
            </w:r>
          </w:p>
        </w:tc>
      </w:tr>
    </w:tbl>
    <w:p>
      <w:pPr>
        <w:pStyle w:val="15"/>
        <w:numPr>
          <w:numId w:val="0"/>
        </w:numPr>
        <w:wordWrap/>
        <w:spacing w:before="120" w:beforeLines="50" w:after="120" w:afterLines="50" w:line="320" w:lineRule="exact"/>
        <w:rPr>
          <w:rFonts w:hint="eastAsia" w:hAnsi="黑体"/>
        </w:rPr>
      </w:pPr>
      <w:r>
        <w:rPr>
          <w:rFonts w:hint="eastAsia" w:hAnsi="黑体"/>
        </w:rPr>
        <w:t>C.4前庭功能检查</w:t>
      </w:r>
    </w:p>
    <w:p>
      <w:pPr>
        <w:pStyle w:val="10"/>
        <w:rPr>
          <w:rFonts w:hint="eastAsia"/>
        </w:rPr>
      </w:pPr>
      <w:r>
        <w:rPr>
          <w:rFonts w:hint="eastAsia"/>
        </w:rPr>
        <w:t>本标准所指的前庭功能丧失及减退，是指外力作用于颅脑或者耳部，造成前庭系统的损伤，伤后出现前庭平衡功能障碍的临床表现，自发性前庭体征检查法和诱发性前庭功能检查法等有阳性发现（如眼震电图/眼震视图，静、动态平衡仪，前庭诱发电位等检查）。应结合听力检查与神经系统检查，以及影像学检查综合判定前庭功能障碍程度。</w:t>
      </w:r>
    </w:p>
    <w:p>
      <w:pPr>
        <w:pStyle w:val="15"/>
        <w:numPr>
          <w:numId w:val="0"/>
        </w:numPr>
        <w:wordWrap/>
        <w:spacing w:before="120" w:beforeLines="50" w:after="120" w:afterLines="50" w:line="320" w:lineRule="exact"/>
        <w:rPr>
          <w:rFonts w:hint="eastAsia"/>
        </w:rPr>
      </w:pPr>
      <w:r>
        <w:rPr>
          <w:rFonts w:hint="eastAsia"/>
        </w:rPr>
        <w:t>C.5阴茎勃起功能评定</w:t>
      </w:r>
    </w:p>
    <w:p>
      <w:pPr>
        <w:pStyle w:val="10"/>
        <w:spacing w:line="276" w:lineRule="auto"/>
        <w:ind w:firstLine="0" w:firstLineChars="0"/>
        <w:rPr>
          <w:rFonts w:hint="eastAsia"/>
        </w:rPr>
      </w:pPr>
      <w:r>
        <w:rPr>
          <w:rFonts w:hint="eastAsia" w:hAnsi="宋体"/>
        </w:rPr>
        <w:t xml:space="preserve">    阴茎勃起功能应符合GA/T 1188《男性性功能障碍法医学鉴定》的要求。</w:t>
      </w:r>
    </w:p>
    <w:p>
      <w:pPr>
        <w:pStyle w:val="15"/>
        <w:numPr>
          <w:numId w:val="0"/>
        </w:numPr>
        <w:wordWrap/>
        <w:spacing w:before="120" w:beforeLines="50" w:after="120" w:afterLines="50" w:line="320" w:lineRule="exact"/>
        <w:rPr>
          <w:rFonts w:hint="eastAsia"/>
        </w:rPr>
      </w:pPr>
      <w:r>
        <w:rPr>
          <w:rFonts w:hint="eastAsia"/>
        </w:rPr>
        <w:t>C.6体表面积计算</w:t>
      </w:r>
    </w:p>
    <w:p>
      <w:pPr>
        <w:rPr>
          <w:rFonts w:hint="eastAsia"/>
        </w:rPr>
      </w:pPr>
      <w:r>
        <w:rPr>
          <w:rFonts w:hint="eastAsia"/>
        </w:rPr>
        <w:t xml:space="preserve">    九分估算法：成人体表面积视为100％，将总体表面积划分为11个9％等面积区域。即：头（面）部与颈部共占1个9％，双上肢共占2个9％，躯干前后及会阴部共占3个9％，臀部及双下肢共占5个9％＋1％（见表C-3）。</w:t>
      </w:r>
    </w:p>
    <w:p>
      <w:pPr>
        <w:pStyle w:val="21"/>
        <w:numPr>
          <w:numId w:val="0"/>
        </w:numPr>
        <w:tabs>
          <w:tab w:val="left" w:pos="1440"/>
        </w:tabs>
        <w:spacing w:before="120" w:after="120"/>
        <w:ind w:left="142"/>
        <w:rPr>
          <w:rFonts w:hint="eastAsia"/>
        </w:rPr>
      </w:pPr>
      <w:r>
        <w:rPr>
          <w:rFonts w:hint="eastAsia"/>
        </w:rPr>
        <w:t>表C-3 体表面积的九分估算法</w:t>
      </w:r>
    </w:p>
    <w:tbl>
      <w:tblPr>
        <w:tblStyle w:val="8"/>
        <w:tblW w:w="7464" w:type="dxa"/>
        <w:jc w:val="center"/>
        <w:tblInd w:w="0" w:type="dxa"/>
        <w:tblLayout w:type="fixed"/>
        <w:tblCellMar>
          <w:top w:w="0" w:type="dxa"/>
          <w:left w:w="30" w:type="dxa"/>
          <w:bottom w:w="0" w:type="dxa"/>
          <w:right w:w="30" w:type="dxa"/>
        </w:tblCellMar>
      </w:tblPr>
      <w:tblGrid>
        <w:gridCol w:w="2450"/>
        <w:gridCol w:w="2340"/>
        <w:gridCol w:w="2674"/>
      </w:tblGrid>
      <w:tr>
        <w:tblPrEx>
          <w:tblLayout w:type="fixed"/>
          <w:tblCellMar>
            <w:top w:w="0" w:type="dxa"/>
            <w:left w:w="30" w:type="dxa"/>
            <w:bottom w:w="0" w:type="dxa"/>
            <w:right w:w="30" w:type="dxa"/>
          </w:tblCellMar>
        </w:tblPrEx>
        <w:trPr>
          <w:trHeight w:val="251" w:hRule="atLeast"/>
          <w:jc w:val="center"/>
        </w:trPr>
        <w:tc>
          <w:tcPr>
            <w:tcW w:w="2450" w:type="dxa"/>
            <w:tcBorders>
              <w:top w:val="single" w:color="auto" w:sz="8" w:space="0"/>
              <w:bottom w:val="single" w:color="auto" w:sz="8" w:space="0"/>
            </w:tcBorders>
            <w:vAlign w:val="center"/>
          </w:tcPr>
          <w:p>
            <w:pPr>
              <w:autoSpaceDE w:val="0"/>
              <w:autoSpaceDN w:val="0"/>
              <w:adjustRightInd w:val="0"/>
              <w:spacing w:line="240" w:lineRule="exact"/>
              <w:ind w:left="-90" w:leftChars="-43" w:firstLine="191" w:firstLineChars="106"/>
              <w:jc w:val="center"/>
              <w:rPr>
                <w:rFonts w:ascii="宋体" w:hAnsi="宋体"/>
                <w:sz w:val="18"/>
                <w:szCs w:val="18"/>
              </w:rPr>
            </w:pPr>
            <w:r>
              <w:rPr>
                <w:rFonts w:hint="eastAsia" w:ascii="宋体" w:hAnsi="宋体"/>
                <w:sz w:val="18"/>
                <w:szCs w:val="18"/>
              </w:rPr>
              <w:t>部位</w:t>
            </w:r>
          </w:p>
        </w:tc>
        <w:tc>
          <w:tcPr>
            <w:tcW w:w="2340" w:type="dxa"/>
            <w:tcBorders>
              <w:top w:val="single" w:color="auto" w:sz="8" w:space="0"/>
              <w:bottom w:val="single" w:color="auto" w:sz="8" w:space="0"/>
            </w:tcBorders>
            <w:vAlign w:val="center"/>
          </w:tcPr>
          <w:p>
            <w:pPr>
              <w:autoSpaceDE w:val="0"/>
              <w:autoSpaceDN w:val="0"/>
              <w:adjustRightInd w:val="0"/>
              <w:spacing w:line="240" w:lineRule="exact"/>
              <w:ind w:left="-90" w:leftChars="-300" w:hanging="540" w:hangingChars="300"/>
              <w:jc w:val="center"/>
              <w:rPr>
                <w:rFonts w:ascii="宋体" w:hAnsi="宋体"/>
                <w:sz w:val="18"/>
                <w:szCs w:val="18"/>
              </w:rPr>
            </w:pPr>
            <w:r>
              <w:rPr>
                <w:rFonts w:hint="eastAsia" w:ascii="宋体" w:hAnsi="宋体"/>
                <w:sz w:val="18"/>
                <w:szCs w:val="18"/>
              </w:rPr>
              <w:t xml:space="preserve">      面积（％）</w:t>
            </w:r>
          </w:p>
        </w:tc>
        <w:tc>
          <w:tcPr>
            <w:tcW w:w="2674" w:type="dxa"/>
            <w:tcBorders>
              <w:top w:val="single" w:color="auto" w:sz="8" w:space="0"/>
              <w:bottom w:val="single" w:color="auto" w:sz="8" w:space="0"/>
            </w:tcBorders>
            <w:vAlign w:val="center"/>
          </w:tcPr>
          <w:p>
            <w:pPr>
              <w:autoSpaceDE w:val="0"/>
              <w:autoSpaceDN w:val="0"/>
              <w:adjustRightInd w:val="0"/>
              <w:spacing w:line="240" w:lineRule="exact"/>
              <w:ind w:left="-90" w:leftChars="-300" w:hanging="540" w:hangingChars="300"/>
              <w:jc w:val="center"/>
              <w:rPr>
                <w:rFonts w:ascii="宋体" w:hAnsi="宋体"/>
                <w:sz w:val="18"/>
                <w:szCs w:val="18"/>
              </w:rPr>
            </w:pPr>
            <w:r>
              <w:rPr>
                <w:rFonts w:hint="eastAsia" w:ascii="宋体" w:hAnsi="宋体"/>
                <w:sz w:val="18"/>
                <w:szCs w:val="18"/>
              </w:rPr>
              <w:t xml:space="preserve">    按九分法面积（％）</w:t>
            </w:r>
          </w:p>
        </w:tc>
      </w:tr>
      <w:tr>
        <w:tblPrEx>
          <w:tblLayout w:type="fixed"/>
          <w:tblCellMar>
            <w:top w:w="0" w:type="dxa"/>
            <w:left w:w="30" w:type="dxa"/>
            <w:bottom w:w="0" w:type="dxa"/>
            <w:right w:w="30" w:type="dxa"/>
          </w:tblCellMar>
        </w:tblPrEx>
        <w:trPr>
          <w:cantSplit/>
          <w:trHeight w:val="251" w:hRule="atLeast"/>
          <w:jc w:val="center"/>
        </w:trPr>
        <w:tc>
          <w:tcPr>
            <w:tcW w:w="2450" w:type="dxa"/>
            <w:tcBorders>
              <w:top w:val="single" w:color="auto" w:sz="8" w:space="0"/>
            </w:tcBorders>
            <w:shd w:val="clear" w:color="auto" w:fill="D9D9D9"/>
            <w:vAlign w:val="center"/>
          </w:tcPr>
          <w:p>
            <w:pPr>
              <w:autoSpaceDE w:val="0"/>
              <w:autoSpaceDN w:val="0"/>
              <w:adjustRightInd w:val="0"/>
              <w:spacing w:line="240" w:lineRule="exact"/>
              <w:ind w:left="-90" w:leftChars="-43"/>
              <w:jc w:val="center"/>
              <w:rPr>
                <w:rFonts w:ascii="宋体" w:hAnsi="宋体"/>
                <w:sz w:val="18"/>
                <w:szCs w:val="18"/>
              </w:rPr>
            </w:pPr>
            <w:r>
              <w:rPr>
                <w:rFonts w:hint="eastAsia" w:ascii="宋体" w:hAnsi="宋体"/>
                <w:sz w:val="18"/>
                <w:szCs w:val="18"/>
              </w:rPr>
              <w:t xml:space="preserve">  头</w:t>
            </w:r>
          </w:p>
        </w:tc>
        <w:tc>
          <w:tcPr>
            <w:tcW w:w="2340" w:type="dxa"/>
            <w:tcBorders>
              <w:top w:val="single" w:color="auto" w:sz="8" w:space="0"/>
            </w:tcBorders>
            <w:shd w:val="clear" w:color="auto" w:fill="D9D9D9"/>
            <w:vAlign w:val="center"/>
          </w:tcPr>
          <w:p>
            <w:pPr>
              <w:autoSpaceDE w:val="0"/>
              <w:autoSpaceDN w:val="0"/>
              <w:adjustRightInd w:val="0"/>
              <w:spacing w:line="240" w:lineRule="exact"/>
              <w:ind w:left="-90" w:leftChars="-300" w:hanging="540" w:hangingChars="300"/>
              <w:jc w:val="center"/>
              <w:rPr>
                <w:rFonts w:ascii="宋体" w:hAnsi="宋体"/>
                <w:sz w:val="18"/>
                <w:szCs w:val="18"/>
              </w:rPr>
            </w:pPr>
            <w:r>
              <w:rPr>
                <w:rFonts w:hint="eastAsia" w:ascii="宋体" w:hAnsi="宋体"/>
                <w:sz w:val="18"/>
                <w:szCs w:val="18"/>
              </w:rPr>
              <w:t xml:space="preserve">     </w:t>
            </w:r>
            <w:r>
              <w:rPr>
                <w:rFonts w:ascii="宋体" w:hAnsi="宋体"/>
                <w:sz w:val="18"/>
                <w:szCs w:val="18"/>
              </w:rPr>
              <w:t>6</w:t>
            </w:r>
          </w:p>
        </w:tc>
        <w:tc>
          <w:tcPr>
            <w:tcW w:w="2674" w:type="dxa"/>
            <w:vMerge w:val="restart"/>
            <w:tcBorders>
              <w:top w:val="single" w:color="auto" w:sz="8" w:space="0"/>
            </w:tcBorders>
            <w:vAlign w:val="center"/>
          </w:tcPr>
          <w:p>
            <w:pPr>
              <w:autoSpaceDE w:val="0"/>
              <w:autoSpaceDN w:val="0"/>
              <w:adjustRightInd w:val="0"/>
              <w:spacing w:line="240" w:lineRule="exact"/>
              <w:ind w:left="-90" w:leftChars="-300" w:hanging="540" w:hangingChars="300"/>
              <w:jc w:val="center"/>
              <w:rPr>
                <w:rFonts w:ascii="宋体" w:hAnsi="宋体"/>
                <w:sz w:val="18"/>
                <w:szCs w:val="18"/>
              </w:rPr>
            </w:pPr>
            <w:r>
              <w:rPr>
                <w:rFonts w:hint="eastAsia" w:ascii="宋体" w:hAnsi="宋体"/>
                <w:sz w:val="18"/>
                <w:szCs w:val="18"/>
              </w:rPr>
              <w:t xml:space="preserve">    （</w:t>
            </w:r>
            <w:r>
              <w:rPr>
                <w:rFonts w:ascii="宋体" w:hAnsi="宋体"/>
                <w:sz w:val="18"/>
                <w:szCs w:val="18"/>
              </w:rPr>
              <w:t>1×9</w:t>
            </w:r>
            <w:r>
              <w:rPr>
                <w:rFonts w:hint="eastAsia" w:ascii="宋体" w:hAnsi="宋体"/>
                <w:sz w:val="18"/>
                <w:szCs w:val="18"/>
              </w:rPr>
              <w:t>）＝</w:t>
            </w:r>
            <w:r>
              <w:rPr>
                <w:rFonts w:ascii="宋体" w:hAnsi="宋体"/>
                <w:sz w:val="18"/>
                <w:szCs w:val="18"/>
              </w:rPr>
              <w:t>9</w:t>
            </w:r>
          </w:p>
        </w:tc>
      </w:tr>
      <w:tr>
        <w:tblPrEx>
          <w:tblLayout w:type="fixed"/>
          <w:tblCellMar>
            <w:top w:w="0" w:type="dxa"/>
            <w:left w:w="30" w:type="dxa"/>
            <w:bottom w:w="0" w:type="dxa"/>
            <w:right w:w="30" w:type="dxa"/>
          </w:tblCellMar>
        </w:tblPrEx>
        <w:trPr>
          <w:cantSplit/>
          <w:trHeight w:val="251" w:hRule="atLeast"/>
          <w:jc w:val="center"/>
        </w:trPr>
        <w:tc>
          <w:tcPr>
            <w:tcW w:w="2450" w:type="dxa"/>
            <w:tcBorders>
              <w:bottom w:val="single" w:color="auto" w:sz="6" w:space="0"/>
            </w:tcBorders>
            <w:vAlign w:val="center"/>
          </w:tcPr>
          <w:p>
            <w:pPr>
              <w:autoSpaceDE w:val="0"/>
              <w:autoSpaceDN w:val="0"/>
              <w:adjustRightInd w:val="0"/>
              <w:spacing w:line="240" w:lineRule="exact"/>
              <w:ind w:left="-90" w:leftChars="-43" w:firstLine="191" w:firstLineChars="106"/>
              <w:jc w:val="center"/>
              <w:rPr>
                <w:rFonts w:ascii="宋体" w:hAnsi="宋体"/>
                <w:sz w:val="18"/>
                <w:szCs w:val="18"/>
              </w:rPr>
            </w:pPr>
            <w:r>
              <w:rPr>
                <w:rFonts w:hint="eastAsia" w:ascii="宋体" w:hAnsi="宋体"/>
                <w:sz w:val="18"/>
                <w:szCs w:val="18"/>
              </w:rPr>
              <w:t>颈</w:t>
            </w:r>
          </w:p>
        </w:tc>
        <w:tc>
          <w:tcPr>
            <w:tcW w:w="2340" w:type="dxa"/>
            <w:tcBorders>
              <w:bottom w:val="single" w:color="auto" w:sz="6" w:space="0"/>
            </w:tcBorders>
            <w:vAlign w:val="center"/>
          </w:tcPr>
          <w:p>
            <w:pPr>
              <w:autoSpaceDE w:val="0"/>
              <w:autoSpaceDN w:val="0"/>
              <w:adjustRightInd w:val="0"/>
              <w:spacing w:line="240" w:lineRule="exact"/>
              <w:ind w:left="-90" w:leftChars="-300" w:hanging="540" w:hangingChars="300"/>
              <w:jc w:val="center"/>
              <w:rPr>
                <w:rFonts w:ascii="宋体" w:hAnsi="宋体"/>
                <w:sz w:val="18"/>
                <w:szCs w:val="18"/>
              </w:rPr>
            </w:pPr>
            <w:r>
              <w:rPr>
                <w:rFonts w:hint="eastAsia" w:ascii="宋体" w:hAnsi="宋体"/>
                <w:sz w:val="18"/>
                <w:szCs w:val="18"/>
              </w:rPr>
              <w:t xml:space="preserve">     </w:t>
            </w:r>
            <w:r>
              <w:rPr>
                <w:rFonts w:ascii="宋体" w:hAnsi="宋体"/>
                <w:sz w:val="18"/>
                <w:szCs w:val="18"/>
              </w:rPr>
              <w:t>3</w:t>
            </w:r>
          </w:p>
        </w:tc>
        <w:tc>
          <w:tcPr>
            <w:tcW w:w="2674" w:type="dxa"/>
            <w:vMerge w:val="continue"/>
            <w:tcBorders>
              <w:bottom w:val="single" w:color="auto" w:sz="6" w:space="0"/>
            </w:tcBorders>
            <w:vAlign w:val="center"/>
          </w:tcPr>
          <w:p>
            <w:pPr>
              <w:autoSpaceDE w:val="0"/>
              <w:autoSpaceDN w:val="0"/>
              <w:adjustRightInd w:val="0"/>
              <w:spacing w:line="240" w:lineRule="exact"/>
              <w:ind w:left="-90" w:leftChars="-300" w:hanging="540" w:hangingChars="300"/>
              <w:jc w:val="center"/>
              <w:rPr>
                <w:rFonts w:ascii="宋体" w:hAnsi="宋体"/>
                <w:sz w:val="18"/>
                <w:szCs w:val="18"/>
              </w:rPr>
            </w:pPr>
          </w:p>
        </w:tc>
      </w:tr>
      <w:tr>
        <w:tblPrEx>
          <w:tblLayout w:type="fixed"/>
          <w:tblCellMar>
            <w:top w:w="0" w:type="dxa"/>
            <w:left w:w="30" w:type="dxa"/>
            <w:bottom w:w="0" w:type="dxa"/>
            <w:right w:w="30" w:type="dxa"/>
          </w:tblCellMar>
        </w:tblPrEx>
        <w:trPr>
          <w:cantSplit/>
          <w:trHeight w:val="251" w:hRule="atLeast"/>
          <w:jc w:val="center"/>
        </w:trPr>
        <w:tc>
          <w:tcPr>
            <w:tcW w:w="2450" w:type="dxa"/>
            <w:tcBorders>
              <w:top w:val="single" w:color="auto" w:sz="6" w:space="0"/>
            </w:tcBorders>
            <w:shd w:val="clear" w:color="auto" w:fill="D9D9D9"/>
            <w:vAlign w:val="center"/>
          </w:tcPr>
          <w:p>
            <w:pPr>
              <w:autoSpaceDE w:val="0"/>
              <w:autoSpaceDN w:val="0"/>
              <w:adjustRightInd w:val="0"/>
              <w:spacing w:line="240" w:lineRule="exact"/>
              <w:ind w:left="-90" w:leftChars="-43" w:firstLine="191" w:firstLineChars="106"/>
              <w:jc w:val="center"/>
              <w:rPr>
                <w:rFonts w:ascii="宋体" w:hAnsi="宋体"/>
                <w:sz w:val="18"/>
                <w:szCs w:val="18"/>
              </w:rPr>
            </w:pPr>
            <w:r>
              <w:rPr>
                <w:rFonts w:hint="eastAsia" w:ascii="宋体" w:hAnsi="宋体"/>
                <w:sz w:val="18"/>
                <w:szCs w:val="18"/>
              </w:rPr>
              <w:t>前躯</w:t>
            </w:r>
          </w:p>
        </w:tc>
        <w:tc>
          <w:tcPr>
            <w:tcW w:w="2340" w:type="dxa"/>
            <w:tcBorders>
              <w:top w:val="single" w:color="auto" w:sz="6" w:space="0"/>
            </w:tcBorders>
            <w:shd w:val="clear" w:color="auto" w:fill="D9D9D9"/>
            <w:vAlign w:val="center"/>
          </w:tcPr>
          <w:p>
            <w:pPr>
              <w:autoSpaceDE w:val="0"/>
              <w:autoSpaceDN w:val="0"/>
              <w:adjustRightInd w:val="0"/>
              <w:spacing w:line="240" w:lineRule="exact"/>
              <w:ind w:left="-90" w:leftChars="-300" w:hanging="540" w:hangingChars="300"/>
              <w:jc w:val="center"/>
              <w:rPr>
                <w:rFonts w:ascii="宋体" w:hAnsi="宋体"/>
                <w:sz w:val="18"/>
                <w:szCs w:val="18"/>
              </w:rPr>
            </w:pPr>
            <w:r>
              <w:rPr>
                <w:rFonts w:hint="eastAsia" w:ascii="宋体" w:hAnsi="宋体"/>
                <w:sz w:val="18"/>
                <w:szCs w:val="18"/>
              </w:rPr>
              <w:t xml:space="preserve">     </w:t>
            </w:r>
            <w:r>
              <w:rPr>
                <w:rFonts w:ascii="宋体" w:hAnsi="宋体"/>
                <w:sz w:val="18"/>
                <w:szCs w:val="18"/>
              </w:rPr>
              <w:t>13</w:t>
            </w:r>
          </w:p>
        </w:tc>
        <w:tc>
          <w:tcPr>
            <w:tcW w:w="2674" w:type="dxa"/>
            <w:vMerge w:val="restart"/>
            <w:tcBorders>
              <w:top w:val="single" w:color="auto" w:sz="6" w:space="0"/>
            </w:tcBorders>
            <w:vAlign w:val="center"/>
          </w:tcPr>
          <w:p>
            <w:pPr>
              <w:autoSpaceDE w:val="0"/>
              <w:autoSpaceDN w:val="0"/>
              <w:adjustRightInd w:val="0"/>
              <w:spacing w:line="240" w:lineRule="exact"/>
              <w:ind w:left="-90" w:leftChars="-300" w:hanging="540" w:hangingChars="300"/>
              <w:jc w:val="center"/>
              <w:rPr>
                <w:rFonts w:ascii="宋体" w:hAnsi="宋体"/>
                <w:sz w:val="18"/>
                <w:szCs w:val="18"/>
              </w:rPr>
            </w:pPr>
            <w:r>
              <w:rPr>
                <w:rFonts w:hint="eastAsia" w:ascii="宋体" w:hAnsi="宋体"/>
                <w:sz w:val="18"/>
                <w:szCs w:val="18"/>
              </w:rPr>
              <w:t xml:space="preserve">    （</w:t>
            </w:r>
            <w:r>
              <w:rPr>
                <w:rFonts w:ascii="宋体" w:hAnsi="宋体"/>
                <w:sz w:val="18"/>
                <w:szCs w:val="18"/>
              </w:rPr>
              <w:t>3×9</w:t>
            </w:r>
            <w:r>
              <w:rPr>
                <w:rFonts w:hint="eastAsia" w:ascii="宋体" w:hAnsi="宋体"/>
                <w:sz w:val="18"/>
                <w:szCs w:val="18"/>
              </w:rPr>
              <w:t>）＝</w:t>
            </w:r>
            <w:r>
              <w:rPr>
                <w:rFonts w:ascii="宋体" w:hAnsi="宋体"/>
                <w:sz w:val="18"/>
                <w:szCs w:val="18"/>
              </w:rPr>
              <w:t>27</w:t>
            </w:r>
          </w:p>
        </w:tc>
      </w:tr>
      <w:tr>
        <w:tblPrEx>
          <w:tblLayout w:type="fixed"/>
          <w:tblCellMar>
            <w:top w:w="0" w:type="dxa"/>
            <w:left w:w="30" w:type="dxa"/>
            <w:bottom w:w="0" w:type="dxa"/>
            <w:right w:w="30" w:type="dxa"/>
          </w:tblCellMar>
        </w:tblPrEx>
        <w:trPr>
          <w:cantSplit/>
          <w:trHeight w:val="251" w:hRule="atLeast"/>
          <w:jc w:val="center"/>
        </w:trPr>
        <w:tc>
          <w:tcPr>
            <w:tcW w:w="2450" w:type="dxa"/>
            <w:vAlign w:val="center"/>
          </w:tcPr>
          <w:p>
            <w:pPr>
              <w:autoSpaceDE w:val="0"/>
              <w:autoSpaceDN w:val="0"/>
              <w:adjustRightInd w:val="0"/>
              <w:spacing w:line="240" w:lineRule="exact"/>
              <w:ind w:left="-90" w:leftChars="-43" w:firstLine="191" w:firstLineChars="106"/>
              <w:jc w:val="center"/>
              <w:rPr>
                <w:rFonts w:ascii="宋体" w:hAnsi="宋体"/>
                <w:sz w:val="18"/>
                <w:szCs w:val="18"/>
              </w:rPr>
            </w:pPr>
            <w:r>
              <w:rPr>
                <w:rFonts w:hint="eastAsia" w:ascii="宋体" w:hAnsi="宋体"/>
                <w:sz w:val="18"/>
                <w:szCs w:val="18"/>
              </w:rPr>
              <w:t>后躯</w:t>
            </w:r>
          </w:p>
        </w:tc>
        <w:tc>
          <w:tcPr>
            <w:tcW w:w="2340" w:type="dxa"/>
            <w:vAlign w:val="center"/>
          </w:tcPr>
          <w:p>
            <w:pPr>
              <w:autoSpaceDE w:val="0"/>
              <w:autoSpaceDN w:val="0"/>
              <w:adjustRightInd w:val="0"/>
              <w:spacing w:line="240" w:lineRule="exact"/>
              <w:ind w:left="-90" w:leftChars="-300" w:hanging="540" w:hangingChars="300"/>
              <w:jc w:val="center"/>
              <w:rPr>
                <w:rFonts w:ascii="宋体" w:hAnsi="宋体"/>
                <w:sz w:val="18"/>
                <w:szCs w:val="18"/>
              </w:rPr>
            </w:pPr>
            <w:r>
              <w:rPr>
                <w:rFonts w:hint="eastAsia" w:ascii="宋体" w:hAnsi="宋体"/>
                <w:sz w:val="18"/>
                <w:szCs w:val="18"/>
              </w:rPr>
              <w:t xml:space="preserve">     </w:t>
            </w:r>
            <w:r>
              <w:rPr>
                <w:rFonts w:ascii="宋体" w:hAnsi="宋体"/>
                <w:sz w:val="18"/>
                <w:szCs w:val="18"/>
              </w:rPr>
              <w:t>13</w:t>
            </w:r>
          </w:p>
        </w:tc>
        <w:tc>
          <w:tcPr>
            <w:tcW w:w="2674" w:type="dxa"/>
            <w:vMerge w:val="continue"/>
            <w:vAlign w:val="center"/>
          </w:tcPr>
          <w:p>
            <w:pPr>
              <w:autoSpaceDE w:val="0"/>
              <w:autoSpaceDN w:val="0"/>
              <w:adjustRightInd w:val="0"/>
              <w:spacing w:line="240" w:lineRule="exact"/>
              <w:ind w:left="-90" w:leftChars="-300" w:hanging="540" w:hangingChars="300"/>
              <w:jc w:val="center"/>
              <w:rPr>
                <w:rFonts w:ascii="宋体" w:hAnsi="宋体"/>
                <w:sz w:val="18"/>
                <w:szCs w:val="18"/>
              </w:rPr>
            </w:pPr>
          </w:p>
        </w:tc>
      </w:tr>
      <w:tr>
        <w:tblPrEx>
          <w:tblLayout w:type="fixed"/>
        </w:tblPrEx>
        <w:trPr>
          <w:cantSplit/>
          <w:trHeight w:val="251" w:hRule="atLeast"/>
          <w:jc w:val="center"/>
        </w:trPr>
        <w:tc>
          <w:tcPr>
            <w:tcW w:w="2450" w:type="dxa"/>
            <w:tcBorders>
              <w:bottom w:val="single" w:color="auto" w:sz="6" w:space="0"/>
            </w:tcBorders>
            <w:shd w:val="clear" w:color="auto" w:fill="D9D9D9"/>
            <w:vAlign w:val="center"/>
          </w:tcPr>
          <w:p>
            <w:pPr>
              <w:autoSpaceDE w:val="0"/>
              <w:autoSpaceDN w:val="0"/>
              <w:adjustRightInd w:val="0"/>
              <w:spacing w:line="240" w:lineRule="exact"/>
              <w:ind w:left="-90" w:leftChars="-43" w:firstLine="191" w:firstLineChars="106"/>
              <w:jc w:val="center"/>
              <w:rPr>
                <w:rFonts w:ascii="宋体" w:hAnsi="宋体"/>
                <w:sz w:val="18"/>
                <w:szCs w:val="18"/>
              </w:rPr>
            </w:pPr>
            <w:r>
              <w:rPr>
                <w:rFonts w:hint="eastAsia" w:ascii="宋体" w:hAnsi="宋体"/>
                <w:sz w:val="18"/>
                <w:szCs w:val="18"/>
              </w:rPr>
              <w:t>会阴</w:t>
            </w:r>
          </w:p>
        </w:tc>
        <w:tc>
          <w:tcPr>
            <w:tcW w:w="2340" w:type="dxa"/>
            <w:tcBorders>
              <w:bottom w:val="single" w:color="auto" w:sz="6" w:space="0"/>
            </w:tcBorders>
            <w:shd w:val="clear" w:color="auto" w:fill="D9D9D9"/>
            <w:vAlign w:val="center"/>
          </w:tcPr>
          <w:p>
            <w:pPr>
              <w:autoSpaceDE w:val="0"/>
              <w:autoSpaceDN w:val="0"/>
              <w:adjustRightInd w:val="0"/>
              <w:spacing w:line="240" w:lineRule="exact"/>
              <w:ind w:left="-90" w:leftChars="-300" w:hanging="540" w:hangingChars="300"/>
              <w:jc w:val="center"/>
              <w:rPr>
                <w:rFonts w:ascii="宋体" w:hAnsi="宋体"/>
                <w:sz w:val="18"/>
                <w:szCs w:val="18"/>
              </w:rPr>
            </w:pPr>
            <w:r>
              <w:rPr>
                <w:rFonts w:hint="eastAsia" w:ascii="宋体" w:hAnsi="宋体"/>
                <w:sz w:val="18"/>
                <w:szCs w:val="18"/>
              </w:rPr>
              <w:t xml:space="preserve">     </w:t>
            </w:r>
            <w:r>
              <w:rPr>
                <w:rFonts w:ascii="宋体" w:hAnsi="宋体"/>
                <w:sz w:val="18"/>
                <w:szCs w:val="18"/>
              </w:rPr>
              <w:t>1</w:t>
            </w:r>
          </w:p>
        </w:tc>
        <w:tc>
          <w:tcPr>
            <w:tcW w:w="2674" w:type="dxa"/>
            <w:vMerge w:val="continue"/>
            <w:tcBorders>
              <w:bottom w:val="single" w:color="auto" w:sz="6" w:space="0"/>
            </w:tcBorders>
            <w:vAlign w:val="center"/>
          </w:tcPr>
          <w:p>
            <w:pPr>
              <w:autoSpaceDE w:val="0"/>
              <w:autoSpaceDN w:val="0"/>
              <w:adjustRightInd w:val="0"/>
              <w:spacing w:line="240" w:lineRule="exact"/>
              <w:ind w:left="-90" w:leftChars="-300" w:hanging="540" w:hangingChars="300"/>
              <w:jc w:val="center"/>
              <w:rPr>
                <w:rFonts w:ascii="宋体" w:hAnsi="宋体"/>
                <w:sz w:val="18"/>
                <w:szCs w:val="18"/>
              </w:rPr>
            </w:pPr>
          </w:p>
        </w:tc>
      </w:tr>
      <w:tr>
        <w:tblPrEx>
          <w:tblLayout w:type="fixed"/>
          <w:tblCellMar>
            <w:top w:w="0" w:type="dxa"/>
            <w:left w:w="30" w:type="dxa"/>
            <w:bottom w:w="0" w:type="dxa"/>
            <w:right w:w="30" w:type="dxa"/>
          </w:tblCellMar>
        </w:tblPrEx>
        <w:trPr>
          <w:cantSplit/>
          <w:trHeight w:val="251" w:hRule="atLeast"/>
          <w:jc w:val="center"/>
        </w:trPr>
        <w:tc>
          <w:tcPr>
            <w:tcW w:w="2450" w:type="dxa"/>
            <w:vAlign w:val="center"/>
          </w:tcPr>
          <w:p>
            <w:pPr>
              <w:autoSpaceDE w:val="0"/>
              <w:autoSpaceDN w:val="0"/>
              <w:adjustRightInd w:val="0"/>
              <w:spacing w:line="240" w:lineRule="exact"/>
              <w:ind w:left="-90" w:leftChars="-43" w:firstLine="191" w:firstLineChars="106"/>
              <w:jc w:val="center"/>
              <w:rPr>
                <w:rFonts w:ascii="宋体" w:hAnsi="宋体"/>
                <w:sz w:val="18"/>
                <w:szCs w:val="18"/>
              </w:rPr>
            </w:pPr>
            <w:r>
              <w:rPr>
                <w:rFonts w:hint="eastAsia" w:ascii="宋体" w:hAnsi="宋体"/>
                <w:sz w:val="18"/>
                <w:szCs w:val="18"/>
              </w:rPr>
              <w:t>双上臂</w:t>
            </w:r>
          </w:p>
        </w:tc>
        <w:tc>
          <w:tcPr>
            <w:tcW w:w="2340" w:type="dxa"/>
            <w:vAlign w:val="center"/>
          </w:tcPr>
          <w:p>
            <w:pPr>
              <w:autoSpaceDE w:val="0"/>
              <w:autoSpaceDN w:val="0"/>
              <w:adjustRightInd w:val="0"/>
              <w:spacing w:line="240" w:lineRule="exact"/>
              <w:ind w:left="-90" w:leftChars="-300" w:hanging="540" w:hangingChars="300"/>
              <w:jc w:val="center"/>
              <w:rPr>
                <w:rFonts w:ascii="宋体" w:hAnsi="宋体"/>
                <w:sz w:val="18"/>
                <w:szCs w:val="18"/>
              </w:rPr>
            </w:pPr>
            <w:r>
              <w:rPr>
                <w:rFonts w:hint="eastAsia" w:ascii="宋体" w:hAnsi="宋体"/>
                <w:sz w:val="18"/>
                <w:szCs w:val="18"/>
              </w:rPr>
              <w:t xml:space="preserve">     </w:t>
            </w:r>
            <w:r>
              <w:rPr>
                <w:rFonts w:ascii="宋体" w:hAnsi="宋体"/>
                <w:sz w:val="18"/>
                <w:szCs w:val="18"/>
              </w:rPr>
              <w:t>7</w:t>
            </w:r>
          </w:p>
        </w:tc>
        <w:tc>
          <w:tcPr>
            <w:tcW w:w="2674" w:type="dxa"/>
            <w:vMerge w:val="restart"/>
            <w:tcBorders>
              <w:top w:val="single" w:color="auto" w:sz="6" w:space="0"/>
            </w:tcBorders>
            <w:vAlign w:val="center"/>
          </w:tcPr>
          <w:p>
            <w:pPr>
              <w:autoSpaceDE w:val="0"/>
              <w:autoSpaceDN w:val="0"/>
              <w:adjustRightInd w:val="0"/>
              <w:spacing w:line="240" w:lineRule="exact"/>
              <w:ind w:left="-90" w:leftChars="-300" w:hanging="540" w:hangingChars="300"/>
              <w:jc w:val="center"/>
              <w:rPr>
                <w:rFonts w:ascii="宋体" w:hAnsi="宋体"/>
                <w:sz w:val="18"/>
                <w:szCs w:val="18"/>
              </w:rPr>
            </w:pPr>
            <w:r>
              <w:rPr>
                <w:rFonts w:hint="eastAsia" w:ascii="宋体" w:hAnsi="宋体"/>
                <w:sz w:val="18"/>
                <w:szCs w:val="18"/>
              </w:rPr>
              <w:t xml:space="preserve">    （</w:t>
            </w:r>
            <w:r>
              <w:rPr>
                <w:rFonts w:ascii="宋体" w:hAnsi="宋体"/>
                <w:sz w:val="18"/>
                <w:szCs w:val="18"/>
              </w:rPr>
              <w:t>2×9</w:t>
            </w:r>
            <w:r>
              <w:rPr>
                <w:rFonts w:hint="eastAsia" w:ascii="宋体" w:hAnsi="宋体"/>
                <w:sz w:val="18"/>
                <w:szCs w:val="18"/>
              </w:rPr>
              <w:t>）＝</w:t>
            </w:r>
            <w:r>
              <w:rPr>
                <w:rFonts w:ascii="宋体" w:hAnsi="宋体"/>
                <w:sz w:val="18"/>
                <w:szCs w:val="18"/>
              </w:rPr>
              <w:t>18</w:t>
            </w:r>
          </w:p>
        </w:tc>
      </w:tr>
      <w:tr>
        <w:tblPrEx>
          <w:tblLayout w:type="fixed"/>
          <w:tblCellMar>
            <w:top w:w="0" w:type="dxa"/>
            <w:left w:w="30" w:type="dxa"/>
            <w:bottom w:w="0" w:type="dxa"/>
            <w:right w:w="30" w:type="dxa"/>
          </w:tblCellMar>
        </w:tblPrEx>
        <w:trPr>
          <w:cantSplit/>
          <w:trHeight w:val="251" w:hRule="atLeast"/>
          <w:jc w:val="center"/>
        </w:trPr>
        <w:tc>
          <w:tcPr>
            <w:tcW w:w="2450" w:type="dxa"/>
            <w:shd w:val="clear" w:color="auto" w:fill="D9D9D9"/>
            <w:vAlign w:val="center"/>
          </w:tcPr>
          <w:p>
            <w:pPr>
              <w:autoSpaceDE w:val="0"/>
              <w:autoSpaceDN w:val="0"/>
              <w:adjustRightInd w:val="0"/>
              <w:spacing w:line="240" w:lineRule="exact"/>
              <w:ind w:left="-90" w:leftChars="-43" w:firstLine="191" w:firstLineChars="106"/>
              <w:jc w:val="center"/>
              <w:rPr>
                <w:rFonts w:ascii="宋体" w:hAnsi="宋体"/>
                <w:sz w:val="18"/>
                <w:szCs w:val="18"/>
              </w:rPr>
            </w:pPr>
            <w:r>
              <w:rPr>
                <w:rFonts w:hint="eastAsia" w:ascii="宋体" w:hAnsi="宋体"/>
                <w:sz w:val="18"/>
                <w:szCs w:val="18"/>
              </w:rPr>
              <w:t>双前臂</w:t>
            </w:r>
          </w:p>
        </w:tc>
        <w:tc>
          <w:tcPr>
            <w:tcW w:w="2340" w:type="dxa"/>
            <w:shd w:val="clear" w:color="auto" w:fill="D9D9D9"/>
            <w:vAlign w:val="center"/>
          </w:tcPr>
          <w:p>
            <w:pPr>
              <w:autoSpaceDE w:val="0"/>
              <w:autoSpaceDN w:val="0"/>
              <w:adjustRightInd w:val="0"/>
              <w:spacing w:line="240" w:lineRule="exact"/>
              <w:ind w:left="-90" w:leftChars="-300" w:hanging="540" w:hangingChars="300"/>
              <w:jc w:val="center"/>
              <w:rPr>
                <w:rFonts w:ascii="宋体" w:hAnsi="宋体"/>
                <w:sz w:val="18"/>
                <w:szCs w:val="18"/>
              </w:rPr>
            </w:pPr>
            <w:r>
              <w:rPr>
                <w:rFonts w:hint="eastAsia" w:ascii="宋体" w:hAnsi="宋体"/>
                <w:sz w:val="18"/>
                <w:szCs w:val="18"/>
              </w:rPr>
              <w:t xml:space="preserve">     </w:t>
            </w:r>
            <w:r>
              <w:rPr>
                <w:rFonts w:ascii="宋体" w:hAnsi="宋体"/>
                <w:sz w:val="18"/>
                <w:szCs w:val="18"/>
              </w:rPr>
              <w:t>6</w:t>
            </w:r>
          </w:p>
        </w:tc>
        <w:tc>
          <w:tcPr>
            <w:tcW w:w="2674" w:type="dxa"/>
            <w:vMerge w:val="continue"/>
            <w:vAlign w:val="center"/>
          </w:tcPr>
          <w:p>
            <w:pPr>
              <w:autoSpaceDE w:val="0"/>
              <w:autoSpaceDN w:val="0"/>
              <w:adjustRightInd w:val="0"/>
              <w:spacing w:line="240" w:lineRule="exact"/>
              <w:ind w:left="-90" w:leftChars="-300" w:hanging="540" w:hangingChars="300"/>
              <w:jc w:val="center"/>
              <w:rPr>
                <w:rFonts w:ascii="宋体" w:hAnsi="宋体"/>
                <w:sz w:val="18"/>
                <w:szCs w:val="18"/>
              </w:rPr>
            </w:pPr>
          </w:p>
        </w:tc>
      </w:tr>
      <w:tr>
        <w:tblPrEx>
          <w:tblLayout w:type="fixed"/>
          <w:tblCellMar>
            <w:top w:w="0" w:type="dxa"/>
            <w:left w:w="30" w:type="dxa"/>
            <w:bottom w:w="0" w:type="dxa"/>
            <w:right w:w="30" w:type="dxa"/>
          </w:tblCellMar>
        </w:tblPrEx>
        <w:trPr>
          <w:cantSplit/>
          <w:trHeight w:val="251" w:hRule="atLeast"/>
          <w:jc w:val="center"/>
        </w:trPr>
        <w:tc>
          <w:tcPr>
            <w:tcW w:w="2450" w:type="dxa"/>
            <w:tcBorders>
              <w:bottom w:val="single" w:color="auto" w:sz="6" w:space="0"/>
            </w:tcBorders>
            <w:vAlign w:val="center"/>
          </w:tcPr>
          <w:p>
            <w:pPr>
              <w:autoSpaceDE w:val="0"/>
              <w:autoSpaceDN w:val="0"/>
              <w:adjustRightInd w:val="0"/>
              <w:spacing w:line="240" w:lineRule="exact"/>
              <w:ind w:left="-90" w:leftChars="-43" w:firstLine="191" w:firstLineChars="106"/>
              <w:jc w:val="center"/>
              <w:rPr>
                <w:rFonts w:ascii="宋体" w:hAnsi="宋体"/>
                <w:sz w:val="18"/>
                <w:szCs w:val="18"/>
              </w:rPr>
            </w:pPr>
            <w:r>
              <w:rPr>
                <w:rFonts w:hint="eastAsia" w:ascii="宋体" w:hAnsi="宋体"/>
                <w:sz w:val="18"/>
                <w:szCs w:val="18"/>
              </w:rPr>
              <w:t>双手</w:t>
            </w:r>
          </w:p>
        </w:tc>
        <w:tc>
          <w:tcPr>
            <w:tcW w:w="2340" w:type="dxa"/>
            <w:tcBorders>
              <w:bottom w:val="single" w:color="auto" w:sz="6" w:space="0"/>
            </w:tcBorders>
            <w:vAlign w:val="center"/>
          </w:tcPr>
          <w:p>
            <w:pPr>
              <w:autoSpaceDE w:val="0"/>
              <w:autoSpaceDN w:val="0"/>
              <w:adjustRightInd w:val="0"/>
              <w:spacing w:line="240" w:lineRule="exact"/>
              <w:ind w:left="-90" w:leftChars="-300" w:hanging="540" w:hangingChars="300"/>
              <w:jc w:val="center"/>
              <w:rPr>
                <w:rFonts w:ascii="宋体" w:hAnsi="宋体"/>
                <w:sz w:val="18"/>
                <w:szCs w:val="18"/>
              </w:rPr>
            </w:pPr>
            <w:r>
              <w:rPr>
                <w:rFonts w:hint="eastAsia" w:ascii="宋体" w:hAnsi="宋体"/>
                <w:sz w:val="18"/>
                <w:szCs w:val="18"/>
              </w:rPr>
              <w:t xml:space="preserve">     </w:t>
            </w:r>
            <w:r>
              <w:rPr>
                <w:rFonts w:ascii="宋体" w:hAnsi="宋体"/>
                <w:sz w:val="18"/>
                <w:szCs w:val="18"/>
              </w:rPr>
              <w:t>5</w:t>
            </w:r>
          </w:p>
        </w:tc>
        <w:tc>
          <w:tcPr>
            <w:tcW w:w="2674" w:type="dxa"/>
            <w:vMerge w:val="continue"/>
            <w:tcBorders>
              <w:bottom w:val="single" w:color="auto" w:sz="6" w:space="0"/>
            </w:tcBorders>
            <w:vAlign w:val="center"/>
          </w:tcPr>
          <w:p>
            <w:pPr>
              <w:autoSpaceDE w:val="0"/>
              <w:autoSpaceDN w:val="0"/>
              <w:adjustRightInd w:val="0"/>
              <w:spacing w:line="240" w:lineRule="exact"/>
              <w:ind w:left="-90" w:leftChars="-300" w:hanging="540" w:hangingChars="300"/>
              <w:jc w:val="center"/>
              <w:rPr>
                <w:rFonts w:ascii="宋体" w:hAnsi="宋体"/>
                <w:sz w:val="18"/>
                <w:szCs w:val="18"/>
              </w:rPr>
            </w:pPr>
          </w:p>
        </w:tc>
      </w:tr>
      <w:tr>
        <w:tblPrEx>
          <w:tblLayout w:type="fixed"/>
          <w:tblCellMar>
            <w:top w:w="0" w:type="dxa"/>
            <w:left w:w="30" w:type="dxa"/>
            <w:bottom w:w="0" w:type="dxa"/>
            <w:right w:w="30" w:type="dxa"/>
          </w:tblCellMar>
        </w:tblPrEx>
        <w:trPr>
          <w:cantSplit/>
          <w:trHeight w:val="251" w:hRule="atLeast"/>
          <w:jc w:val="center"/>
        </w:trPr>
        <w:tc>
          <w:tcPr>
            <w:tcW w:w="2450" w:type="dxa"/>
            <w:tcBorders>
              <w:top w:val="single" w:color="auto" w:sz="6" w:space="0"/>
            </w:tcBorders>
            <w:shd w:val="clear" w:color="auto" w:fill="D9D9D9"/>
            <w:vAlign w:val="center"/>
          </w:tcPr>
          <w:p>
            <w:pPr>
              <w:autoSpaceDE w:val="0"/>
              <w:autoSpaceDN w:val="0"/>
              <w:adjustRightInd w:val="0"/>
              <w:spacing w:line="240" w:lineRule="exact"/>
              <w:ind w:left="-90" w:leftChars="-43" w:firstLine="191" w:firstLineChars="106"/>
              <w:jc w:val="center"/>
              <w:rPr>
                <w:rFonts w:ascii="宋体" w:hAnsi="宋体"/>
                <w:sz w:val="18"/>
                <w:szCs w:val="18"/>
              </w:rPr>
            </w:pPr>
            <w:r>
              <w:rPr>
                <w:rFonts w:hint="eastAsia" w:ascii="宋体" w:hAnsi="宋体"/>
                <w:sz w:val="18"/>
                <w:szCs w:val="18"/>
              </w:rPr>
              <w:t>臀</w:t>
            </w:r>
          </w:p>
        </w:tc>
        <w:tc>
          <w:tcPr>
            <w:tcW w:w="2340" w:type="dxa"/>
            <w:tcBorders>
              <w:top w:val="single" w:color="auto" w:sz="6" w:space="0"/>
            </w:tcBorders>
            <w:shd w:val="clear" w:color="auto" w:fill="D9D9D9"/>
            <w:vAlign w:val="center"/>
          </w:tcPr>
          <w:p>
            <w:pPr>
              <w:autoSpaceDE w:val="0"/>
              <w:autoSpaceDN w:val="0"/>
              <w:adjustRightInd w:val="0"/>
              <w:spacing w:line="240" w:lineRule="exact"/>
              <w:ind w:left="-90" w:leftChars="-300" w:hanging="540" w:hangingChars="300"/>
              <w:jc w:val="center"/>
              <w:rPr>
                <w:rFonts w:ascii="宋体" w:hAnsi="宋体"/>
                <w:sz w:val="18"/>
                <w:szCs w:val="18"/>
              </w:rPr>
            </w:pPr>
            <w:r>
              <w:rPr>
                <w:rFonts w:hint="eastAsia" w:ascii="宋体" w:hAnsi="宋体"/>
                <w:sz w:val="18"/>
                <w:szCs w:val="18"/>
              </w:rPr>
              <w:t xml:space="preserve">     </w:t>
            </w:r>
            <w:r>
              <w:rPr>
                <w:rFonts w:ascii="宋体" w:hAnsi="宋体"/>
                <w:sz w:val="18"/>
                <w:szCs w:val="18"/>
              </w:rPr>
              <w:t>5</w:t>
            </w:r>
          </w:p>
        </w:tc>
        <w:tc>
          <w:tcPr>
            <w:tcW w:w="2674" w:type="dxa"/>
            <w:vMerge w:val="restart"/>
            <w:tcBorders>
              <w:top w:val="single" w:color="auto" w:sz="6" w:space="0"/>
            </w:tcBorders>
            <w:vAlign w:val="center"/>
          </w:tcPr>
          <w:p>
            <w:pPr>
              <w:autoSpaceDE w:val="0"/>
              <w:autoSpaceDN w:val="0"/>
              <w:adjustRightInd w:val="0"/>
              <w:spacing w:line="240" w:lineRule="exact"/>
              <w:ind w:left="-90" w:leftChars="-300" w:hanging="540" w:hangingChars="300"/>
              <w:jc w:val="center"/>
              <w:rPr>
                <w:rFonts w:ascii="宋体" w:hAnsi="宋体"/>
                <w:sz w:val="18"/>
                <w:szCs w:val="18"/>
              </w:rPr>
            </w:pPr>
            <w:r>
              <w:rPr>
                <w:rFonts w:hint="eastAsia" w:ascii="宋体" w:hAnsi="宋体"/>
                <w:sz w:val="18"/>
                <w:szCs w:val="18"/>
              </w:rPr>
              <w:t xml:space="preserve">     （</w:t>
            </w:r>
            <w:r>
              <w:rPr>
                <w:rFonts w:ascii="宋体" w:hAnsi="宋体"/>
                <w:sz w:val="18"/>
                <w:szCs w:val="18"/>
              </w:rPr>
              <w:t>5×9</w:t>
            </w:r>
            <w:r>
              <w:rPr>
                <w:rFonts w:hint="eastAsia" w:ascii="宋体" w:hAnsi="宋体"/>
                <w:sz w:val="18"/>
                <w:szCs w:val="18"/>
              </w:rPr>
              <w:t>＋</w:t>
            </w:r>
            <w:r>
              <w:rPr>
                <w:rFonts w:ascii="宋体" w:hAnsi="宋体"/>
                <w:sz w:val="18"/>
                <w:szCs w:val="18"/>
              </w:rPr>
              <w:t>1</w:t>
            </w:r>
            <w:r>
              <w:rPr>
                <w:rFonts w:hint="eastAsia" w:ascii="宋体" w:hAnsi="宋体"/>
                <w:sz w:val="18"/>
                <w:szCs w:val="18"/>
              </w:rPr>
              <w:t>）＝</w:t>
            </w:r>
            <w:r>
              <w:rPr>
                <w:rFonts w:ascii="宋体" w:hAnsi="宋体"/>
                <w:sz w:val="18"/>
                <w:szCs w:val="18"/>
              </w:rPr>
              <w:t>46</w:t>
            </w:r>
          </w:p>
        </w:tc>
      </w:tr>
      <w:tr>
        <w:tblPrEx>
          <w:tblLayout w:type="fixed"/>
          <w:tblCellMar>
            <w:top w:w="0" w:type="dxa"/>
            <w:left w:w="30" w:type="dxa"/>
            <w:bottom w:w="0" w:type="dxa"/>
            <w:right w:w="30" w:type="dxa"/>
          </w:tblCellMar>
        </w:tblPrEx>
        <w:trPr>
          <w:cantSplit/>
          <w:trHeight w:val="251" w:hRule="atLeast"/>
          <w:jc w:val="center"/>
        </w:trPr>
        <w:tc>
          <w:tcPr>
            <w:tcW w:w="2450" w:type="dxa"/>
            <w:shd w:val="clear" w:color="auto" w:fill="FFFFFF"/>
            <w:vAlign w:val="center"/>
          </w:tcPr>
          <w:p>
            <w:pPr>
              <w:autoSpaceDE w:val="0"/>
              <w:autoSpaceDN w:val="0"/>
              <w:adjustRightInd w:val="0"/>
              <w:spacing w:line="240" w:lineRule="exact"/>
              <w:ind w:left="-90" w:leftChars="-43" w:firstLine="191" w:firstLineChars="106"/>
              <w:jc w:val="center"/>
              <w:rPr>
                <w:rFonts w:hint="eastAsia" w:ascii="宋体" w:hAnsi="宋体"/>
                <w:sz w:val="18"/>
                <w:szCs w:val="18"/>
              </w:rPr>
            </w:pPr>
            <w:r>
              <w:rPr>
                <w:rFonts w:hint="eastAsia" w:ascii="宋体" w:hAnsi="宋体"/>
                <w:sz w:val="18"/>
                <w:szCs w:val="18"/>
              </w:rPr>
              <w:t>双大腿</w:t>
            </w:r>
          </w:p>
        </w:tc>
        <w:tc>
          <w:tcPr>
            <w:tcW w:w="2340" w:type="dxa"/>
            <w:shd w:val="clear" w:color="auto" w:fill="FFFFFF"/>
            <w:vAlign w:val="center"/>
          </w:tcPr>
          <w:p>
            <w:pPr>
              <w:autoSpaceDE w:val="0"/>
              <w:autoSpaceDN w:val="0"/>
              <w:adjustRightInd w:val="0"/>
              <w:spacing w:line="240" w:lineRule="exact"/>
              <w:ind w:left="-90" w:leftChars="-300" w:hanging="540" w:hangingChars="300"/>
              <w:jc w:val="center"/>
              <w:rPr>
                <w:rFonts w:ascii="宋体" w:hAnsi="宋体"/>
                <w:sz w:val="18"/>
                <w:szCs w:val="18"/>
              </w:rPr>
            </w:pPr>
            <w:r>
              <w:rPr>
                <w:rFonts w:hint="eastAsia" w:ascii="宋体" w:hAnsi="宋体"/>
                <w:sz w:val="18"/>
                <w:szCs w:val="18"/>
              </w:rPr>
              <w:t xml:space="preserve">     </w:t>
            </w:r>
            <w:r>
              <w:rPr>
                <w:rFonts w:ascii="宋体" w:hAnsi="宋体"/>
                <w:sz w:val="18"/>
                <w:szCs w:val="18"/>
              </w:rPr>
              <w:t>21</w:t>
            </w:r>
          </w:p>
        </w:tc>
        <w:tc>
          <w:tcPr>
            <w:tcW w:w="2674" w:type="dxa"/>
            <w:vMerge w:val="continue"/>
            <w:vAlign w:val="center"/>
          </w:tcPr>
          <w:p>
            <w:pPr>
              <w:autoSpaceDE w:val="0"/>
              <w:autoSpaceDN w:val="0"/>
              <w:adjustRightInd w:val="0"/>
              <w:spacing w:line="240" w:lineRule="exact"/>
              <w:ind w:left="-90" w:leftChars="-300" w:hanging="540" w:hangingChars="300"/>
              <w:jc w:val="center"/>
              <w:rPr>
                <w:rFonts w:hint="eastAsia" w:ascii="宋体" w:hAnsi="宋体"/>
                <w:sz w:val="18"/>
                <w:szCs w:val="18"/>
              </w:rPr>
            </w:pPr>
          </w:p>
        </w:tc>
      </w:tr>
      <w:tr>
        <w:tblPrEx>
          <w:tblLayout w:type="fixed"/>
        </w:tblPrEx>
        <w:trPr>
          <w:cantSplit/>
          <w:trHeight w:val="251" w:hRule="atLeast"/>
          <w:jc w:val="center"/>
        </w:trPr>
        <w:tc>
          <w:tcPr>
            <w:tcW w:w="2450" w:type="dxa"/>
            <w:shd w:val="clear" w:color="auto" w:fill="D9D9D9"/>
            <w:vAlign w:val="center"/>
          </w:tcPr>
          <w:p>
            <w:pPr>
              <w:autoSpaceDE w:val="0"/>
              <w:autoSpaceDN w:val="0"/>
              <w:adjustRightInd w:val="0"/>
              <w:spacing w:line="240" w:lineRule="exact"/>
              <w:ind w:left="-90" w:leftChars="-43" w:firstLine="191" w:firstLineChars="106"/>
              <w:jc w:val="center"/>
              <w:rPr>
                <w:rFonts w:hint="eastAsia" w:ascii="宋体" w:hAnsi="宋体"/>
                <w:sz w:val="18"/>
                <w:szCs w:val="18"/>
              </w:rPr>
            </w:pPr>
            <w:r>
              <w:rPr>
                <w:rFonts w:hint="eastAsia" w:ascii="宋体" w:hAnsi="宋体"/>
                <w:sz w:val="18"/>
                <w:szCs w:val="18"/>
              </w:rPr>
              <w:t>双小腿</w:t>
            </w:r>
          </w:p>
        </w:tc>
        <w:tc>
          <w:tcPr>
            <w:tcW w:w="2340" w:type="dxa"/>
            <w:shd w:val="clear" w:color="auto" w:fill="D9D9D9"/>
            <w:vAlign w:val="center"/>
          </w:tcPr>
          <w:p>
            <w:pPr>
              <w:autoSpaceDE w:val="0"/>
              <w:autoSpaceDN w:val="0"/>
              <w:adjustRightInd w:val="0"/>
              <w:spacing w:line="240" w:lineRule="exact"/>
              <w:ind w:left="-90" w:leftChars="-300" w:hanging="540" w:hangingChars="300"/>
              <w:jc w:val="center"/>
              <w:rPr>
                <w:rFonts w:ascii="宋体" w:hAnsi="宋体"/>
                <w:sz w:val="18"/>
                <w:szCs w:val="18"/>
              </w:rPr>
            </w:pPr>
            <w:r>
              <w:rPr>
                <w:rFonts w:hint="eastAsia" w:ascii="宋体" w:hAnsi="宋体"/>
                <w:sz w:val="18"/>
                <w:szCs w:val="18"/>
              </w:rPr>
              <w:t xml:space="preserve">     </w:t>
            </w:r>
            <w:r>
              <w:rPr>
                <w:rFonts w:ascii="宋体" w:hAnsi="宋体"/>
                <w:sz w:val="18"/>
                <w:szCs w:val="18"/>
              </w:rPr>
              <w:t>13</w:t>
            </w:r>
          </w:p>
        </w:tc>
        <w:tc>
          <w:tcPr>
            <w:tcW w:w="2674" w:type="dxa"/>
            <w:vMerge w:val="continue"/>
            <w:vAlign w:val="center"/>
          </w:tcPr>
          <w:p>
            <w:pPr>
              <w:autoSpaceDE w:val="0"/>
              <w:autoSpaceDN w:val="0"/>
              <w:adjustRightInd w:val="0"/>
              <w:spacing w:line="240" w:lineRule="exact"/>
              <w:ind w:left="-90" w:leftChars="-300" w:hanging="540" w:hangingChars="300"/>
              <w:jc w:val="center"/>
              <w:rPr>
                <w:rFonts w:hint="eastAsia" w:ascii="宋体" w:hAnsi="宋体"/>
                <w:sz w:val="18"/>
                <w:szCs w:val="18"/>
              </w:rPr>
            </w:pPr>
          </w:p>
        </w:tc>
      </w:tr>
      <w:tr>
        <w:tblPrEx>
          <w:tblLayout w:type="fixed"/>
          <w:tblCellMar>
            <w:top w:w="0" w:type="dxa"/>
            <w:left w:w="30" w:type="dxa"/>
            <w:bottom w:w="0" w:type="dxa"/>
            <w:right w:w="30" w:type="dxa"/>
          </w:tblCellMar>
        </w:tblPrEx>
        <w:trPr>
          <w:cantSplit/>
          <w:trHeight w:val="251" w:hRule="atLeast"/>
          <w:jc w:val="center"/>
        </w:trPr>
        <w:tc>
          <w:tcPr>
            <w:tcW w:w="2450" w:type="dxa"/>
            <w:tcBorders>
              <w:bottom w:val="single" w:color="auto" w:sz="6" w:space="0"/>
            </w:tcBorders>
            <w:vAlign w:val="center"/>
          </w:tcPr>
          <w:p>
            <w:pPr>
              <w:autoSpaceDE w:val="0"/>
              <w:autoSpaceDN w:val="0"/>
              <w:adjustRightInd w:val="0"/>
              <w:spacing w:line="240" w:lineRule="exact"/>
              <w:ind w:left="-90" w:leftChars="-43" w:firstLine="191" w:firstLineChars="106"/>
              <w:jc w:val="center"/>
              <w:rPr>
                <w:rFonts w:hint="eastAsia" w:ascii="宋体" w:hAnsi="宋体"/>
                <w:sz w:val="18"/>
                <w:szCs w:val="18"/>
              </w:rPr>
            </w:pPr>
            <w:r>
              <w:rPr>
                <w:rFonts w:hint="eastAsia" w:ascii="宋体" w:hAnsi="宋体"/>
                <w:sz w:val="18"/>
                <w:szCs w:val="18"/>
              </w:rPr>
              <w:t>双足</w:t>
            </w:r>
          </w:p>
        </w:tc>
        <w:tc>
          <w:tcPr>
            <w:tcW w:w="2340" w:type="dxa"/>
            <w:tcBorders>
              <w:bottom w:val="single" w:color="auto" w:sz="6" w:space="0"/>
            </w:tcBorders>
            <w:vAlign w:val="center"/>
          </w:tcPr>
          <w:p>
            <w:pPr>
              <w:autoSpaceDE w:val="0"/>
              <w:autoSpaceDN w:val="0"/>
              <w:adjustRightInd w:val="0"/>
              <w:spacing w:line="240" w:lineRule="exact"/>
              <w:ind w:left="-90" w:leftChars="-300" w:hanging="540" w:hangingChars="300"/>
              <w:jc w:val="center"/>
              <w:rPr>
                <w:rFonts w:ascii="宋体" w:hAnsi="宋体"/>
                <w:sz w:val="18"/>
                <w:szCs w:val="18"/>
              </w:rPr>
            </w:pPr>
            <w:r>
              <w:rPr>
                <w:rFonts w:hint="eastAsia" w:ascii="宋体" w:hAnsi="宋体"/>
                <w:sz w:val="18"/>
                <w:szCs w:val="18"/>
              </w:rPr>
              <w:t xml:space="preserve">     </w:t>
            </w:r>
            <w:r>
              <w:rPr>
                <w:rFonts w:ascii="宋体" w:hAnsi="宋体"/>
                <w:sz w:val="18"/>
                <w:szCs w:val="18"/>
              </w:rPr>
              <w:t>7</w:t>
            </w:r>
          </w:p>
        </w:tc>
        <w:tc>
          <w:tcPr>
            <w:tcW w:w="2674" w:type="dxa"/>
            <w:vMerge w:val="continue"/>
            <w:tcBorders>
              <w:bottom w:val="single" w:color="auto" w:sz="6" w:space="0"/>
            </w:tcBorders>
            <w:vAlign w:val="center"/>
          </w:tcPr>
          <w:p>
            <w:pPr>
              <w:autoSpaceDE w:val="0"/>
              <w:autoSpaceDN w:val="0"/>
              <w:adjustRightInd w:val="0"/>
              <w:spacing w:line="240" w:lineRule="exact"/>
              <w:ind w:left="-90" w:leftChars="-300" w:hanging="540" w:hangingChars="300"/>
              <w:jc w:val="center"/>
              <w:rPr>
                <w:rFonts w:hint="eastAsia" w:ascii="宋体" w:hAnsi="宋体"/>
                <w:sz w:val="18"/>
                <w:szCs w:val="18"/>
              </w:rPr>
            </w:pPr>
          </w:p>
        </w:tc>
      </w:tr>
      <w:tr>
        <w:tblPrEx>
          <w:tblLayout w:type="fixed"/>
          <w:tblCellMar>
            <w:top w:w="0" w:type="dxa"/>
            <w:left w:w="30" w:type="dxa"/>
            <w:bottom w:w="0" w:type="dxa"/>
            <w:right w:w="30" w:type="dxa"/>
          </w:tblCellMar>
        </w:tblPrEx>
        <w:trPr>
          <w:cantSplit/>
          <w:trHeight w:val="249" w:hRule="atLeast"/>
          <w:jc w:val="center"/>
        </w:trPr>
        <w:tc>
          <w:tcPr>
            <w:tcW w:w="2450" w:type="dxa"/>
            <w:tcBorders>
              <w:top w:val="single" w:color="auto" w:sz="6" w:space="0"/>
              <w:bottom w:val="single" w:color="auto" w:sz="6" w:space="0"/>
            </w:tcBorders>
            <w:shd w:val="clear" w:color="auto" w:fill="D9D9D9"/>
            <w:vAlign w:val="center"/>
          </w:tcPr>
          <w:p>
            <w:pPr>
              <w:autoSpaceDE w:val="0"/>
              <w:autoSpaceDN w:val="0"/>
              <w:adjustRightInd w:val="0"/>
              <w:spacing w:line="240" w:lineRule="exact"/>
              <w:ind w:left="-90" w:leftChars="-43" w:firstLine="191" w:firstLineChars="106"/>
              <w:jc w:val="center"/>
              <w:rPr>
                <w:rFonts w:hint="eastAsia" w:ascii="宋体" w:hAnsi="宋体"/>
                <w:sz w:val="18"/>
                <w:szCs w:val="18"/>
              </w:rPr>
            </w:pPr>
            <w:r>
              <w:rPr>
                <w:rFonts w:hint="eastAsia" w:ascii="宋体" w:hAnsi="宋体"/>
                <w:sz w:val="18"/>
                <w:szCs w:val="18"/>
              </w:rPr>
              <w:t>全身合计</w:t>
            </w:r>
          </w:p>
        </w:tc>
        <w:tc>
          <w:tcPr>
            <w:tcW w:w="2340" w:type="dxa"/>
            <w:tcBorders>
              <w:top w:val="single" w:color="auto" w:sz="6" w:space="0"/>
              <w:bottom w:val="single" w:color="auto" w:sz="6" w:space="0"/>
            </w:tcBorders>
            <w:shd w:val="clear" w:color="auto" w:fill="D9D9D9"/>
            <w:vAlign w:val="center"/>
          </w:tcPr>
          <w:p>
            <w:pPr>
              <w:autoSpaceDE w:val="0"/>
              <w:autoSpaceDN w:val="0"/>
              <w:adjustRightInd w:val="0"/>
              <w:spacing w:line="240" w:lineRule="exact"/>
              <w:ind w:left="-90" w:leftChars="-300" w:hanging="540" w:hangingChars="300"/>
              <w:jc w:val="center"/>
              <w:rPr>
                <w:rFonts w:ascii="宋体" w:hAnsi="宋体"/>
                <w:sz w:val="18"/>
                <w:szCs w:val="18"/>
              </w:rPr>
            </w:pPr>
            <w:r>
              <w:rPr>
                <w:rFonts w:hint="eastAsia" w:ascii="宋体" w:hAnsi="宋体"/>
                <w:sz w:val="18"/>
                <w:szCs w:val="18"/>
              </w:rPr>
              <w:t xml:space="preserve">     </w:t>
            </w:r>
            <w:r>
              <w:rPr>
                <w:rFonts w:ascii="宋体" w:hAnsi="宋体"/>
                <w:sz w:val="18"/>
                <w:szCs w:val="18"/>
              </w:rPr>
              <w:t>100</w:t>
            </w:r>
          </w:p>
        </w:tc>
        <w:tc>
          <w:tcPr>
            <w:tcW w:w="2674" w:type="dxa"/>
            <w:tcBorders>
              <w:top w:val="single" w:color="auto" w:sz="6" w:space="0"/>
              <w:bottom w:val="single" w:color="auto" w:sz="6" w:space="0"/>
            </w:tcBorders>
            <w:vAlign w:val="center"/>
          </w:tcPr>
          <w:p>
            <w:pPr>
              <w:autoSpaceDE w:val="0"/>
              <w:autoSpaceDN w:val="0"/>
              <w:adjustRightInd w:val="0"/>
              <w:spacing w:line="240" w:lineRule="exact"/>
              <w:ind w:left="-90" w:leftChars="-300" w:hanging="540" w:hangingChars="300"/>
              <w:jc w:val="center"/>
              <w:rPr>
                <w:rFonts w:hint="eastAsia" w:ascii="宋体" w:hAnsi="宋体"/>
                <w:sz w:val="18"/>
                <w:szCs w:val="18"/>
              </w:rPr>
            </w:pPr>
            <w:r>
              <w:rPr>
                <w:rFonts w:hint="eastAsia" w:ascii="宋体" w:hAnsi="宋体"/>
                <w:sz w:val="18"/>
                <w:szCs w:val="18"/>
              </w:rPr>
              <w:t xml:space="preserve">     （</w:t>
            </w:r>
            <w:r>
              <w:rPr>
                <w:rFonts w:ascii="宋体" w:hAnsi="宋体"/>
                <w:sz w:val="18"/>
                <w:szCs w:val="18"/>
              </w:rPr>
              <w:t>11×9</w:t>
            </w:r>
            <w:r>
              <w:rPr>
                <w:rFonts w:hint="eastAsia" w:ascii="宋体" w:hAnsi="宋体"/>
                <w:sz w:val="18"/>
                <w:szCs w:val="18"/>
              </w:rPr>
              <w:t>＋</w:t>
            </w:r>
            <w:r>
              <w:rPr>
                <w:rFonts w:ascii="宋体" w:hAnsi="宋体"/>
                <w:sz w:val="18"/>
                <w:szCs w:val="18"/>
              </w:rPr>
              <w:t>1</w:t>
            </w:r>
            <w:r>
              <w:rPr>
                <w:rFonts w:hint="eastAsia" w:ascii="宋体" w:hAnsi="宋体"/>
                <w:sz w:val="18"/>
                <w:szCs w:val="18"/>
              </w:rPr>
              <w:t>）＝</w:t>
            </w:r>
            <w:r>
              <w:rPr>
                <w:rFonts w:ascii="宋体" w:hAnsi="宋体"/>
                <w:sz w:val="18"/>
                <w:szCs w:val="18"/>
              </w:rPr>
              <w:t>100</w:t>
            </w:r>
          </w:p>
        </w:tc>
      </w:tr>
    </w:tbl>
    <w:p>
      <w:pPr>
        <w:pStyle w:val="10"/>
        <w:rPr>
          <w:rFonts w:hint="eastAsia"/>
        </w:rPr>
      </w:pPr>
      <w:r>
        <w:rPr>
          <w:rFonts w:hint="eastAsia"/>
        </w:rPr>
        <w:t xml:space="preserve"> </w:t>
      </w:r>
    </w:p>
    <w:p>
      <w:pPr>
        <w:pStyle w:val="10"/>
        <w:ind w:firstLine="525" w:firstLineChars="250"/>
        <w:rPr>
          <w:rFonts w:hint="eastAsia"/>
        </w:rPr>
      </w:pPr>
      <w:r>
        <w:rPr>
          <w:rFonts w:hint="eastAsia"/>
        </w:rPr>
        <w:t>手掌法：受检者五指并拢，一掌面约相当其自身体表面积的1％。</w:t>
      </w:r>
    </w:p>
    <w:p>
      <w:pPr>
        <w:pStyle w:val="10"/>
        <w:rPr>
          <w:rFonts w:hint="eastAsia"/>
        </w:rPr>
      </w:pPr>
      <w:r>
        <w:rPr>
          <w:rFonts w:hint="eastAsia"/>
        </w:rPr>
        <w:t xml:space="preserve"> 公式计算法：体表总面积S（m</w:t>
      </w:r>
      <w:r>
        <w:rPr>
          <w:rFonts w:hint="eastAsia"/>
          <w:vertAlign w:val="superscript"/>
        </w:rPr>
        <w:t>2</w:t>
      </w:r>
      <w:r>
        <w:rPr>
          <w:rFonts w:hint="eastAsia"/>
        </w:rPr>
        <w:t>）=0.0061</w:t>
      </w:r>
      <w:r>
        <w:rPr>
          <w:rFonts w:hint="eastAsia" w:hAnsi="宋体"/>
        </w:rPr>
        <w:t>×</w:t>
      </w:r>
      <w:r>
        <w:rPr>
          <w:rFonts w:hint="eastAsia"/>
        </w:rPr>
        <w:t>身长（cm）+0.0128</w:t>
      </w:r>
      <w:r>
        <w:rPr>
          <w:rFonts w:hint="eastAsia" w:hAnsi="宋体"/>
        </w:rPr>
        <w:t>×</w:t>
      </w:r>
      <w:r>
        <w:rPr>
          <w:rFonts w:hint="eastAsia"/>
        </w:rPr>
        <w:t>体重（kg）-0.1529。</w:t>
      </w:r>
    </w:p>
    <w:p>
      <w:pPr>
        <w:pStyle w:val="10"/>
        <w:ind w:firstLine="360"/>
        <w:rPr>
          <w:rFonts w:hint="eastAsia"/>
        </w:rPr>
      </w:pPr>
      <w:r>
        <w:rPr>
          <w:rFonts w:hint="eastAsia" w:ascii="华文楷体" w:hAnsi="华文楷体" w:eastAsia="华文楷体"/>
          <w:sz w:val="18"/>
          <w:szCs w:val="18"/>
        </w:rPr>
        <w:t>注： 12岁以下儿童体表面积：头颈部%＝[9＋（12－年龄）]%，双下肢%＝[46－（12－年龄）]%。</w:t>
      </w:r>
    </w:p>
    <w:p>
      <w:pPr>
        <w:pStyle w:val="15"/>
        <w:numPr>
          <w:numId w:val="0"/>
        </w:numPr>
        <w:wordWrap/>
        <w:spacing w:before="120" w:beforeLines="50" w:after="120" w:afterLines="50" w:line="340" w:lineRule="exact"/>
        <w:rPr>
          <w:rFonts w:hint="eastAsia"/>
        </w:rPr>
      </w:pPr>
      <w:r>
        <w:rPr>
          <w:rFonts w:hint="eastAsia"/>
        </w:rPr>
        <w:t>C.7肢体关节功能评定</w:t>
      </w:r>
    </w:p>
    <w:p>
      <w:pPr>
        <w:pStyle w:val="10"/>
        <w:rPr>
          <w:kern w:val="21"/>
        </w:rPr>
      </w:pPr>
      <w:r>
        <w:rPr>
          <w:rFonts w:hint="eastAsia"/>
          <w:kern w:val="21"/>
        </w:rPr>
        <w:t>先根据受损关节活动度大小及关节肌群肌力等级直接查表（见表C-4～表C-9）得出受损关节各方位功能丧失值，再将受损关节各方位功能丧失值累计求和后除以该关节活动方位数（如肩关节活动方位为6）即可得出受损关节功能丧失值。</w:t>
      </w:r>
    </w:p>
    <w:p>
      <w:pPr>
        <w:pStyle w:val="10"/>
        <w:spacing w:line="240" w:lineRule="exact"/>
        <w:ind w:firstLine="360"/>
        <w:rPr>
          <w:rFonts w:hint="eastAsia" w:ascii="华文楷体" w:hAnsi="华文楷体" w:eastAsia="华文楷体"/>
          <w:kern w:val="21"/>
          <w:sz w:val="18"/>
          <w:szCs w:val="18"/>
        </w:rPr>
      </w:pPr>
      <w:r>
        <w:rPr>
          <w:rFonts w:hint="eastAsia" w:ascii="华文楷体" w:hAnsi="华文楷体" w:eastAsia="华文楷体"/>
          <w:kern w:val="21"/>
          <w:sz w:val="18"/>
          <w:szCs w:val="18"/>
        </w:rPr>
        <w:t>注：（1）表C</w:t>
      </w:r>
      <w:r>
        <w:rPr>
          <w:rFonts w:hint="eastAsia" w:hAnsi="宋体" w:cs="宋体"/>
          <w:kern w:val="21"/>
          <w:sz w:val="18"/>
          <w:szCs w:val="18"/>
        </w:rPr>
        <w:t>-</w:t>
      </w:r>
      <w:r>
        <w:rPr>
          <w:rFonts w:hint="eastAsia" w:ascii="华文楷体" w:hAnsi="华文楷体" w:eastAsia="华文楷体"/>
          <w:kern w:val="21"/>
          <w:sz w:val="18"/>
          <w:szCs w:val="18"/>
        </w:rPr>
        <w:t>4～表C</w:t>
      </w:r>
      <w:r>
        <w:rPr>
          <w:rFonts w:hint="eastAsia" w:hAnsi="宋体" w:cs="宋体"/>
          <w:kern w:val="21"/>
          <w:sz w:val="18"/>
          <w:szCs w:val="18"/>
        </w:rPr>
        <w:t>-</w:t>
      </w:r>
      <w:r>
        <w:rPr>
          <w:rFonts w:hint="eastAsia" w:ascii="华文楷体" w:hAnsi="华文楷体" w:eastAsia="华文楷体"/>
          <w:kern w:val="21"/>
          <w:sz w:val="18"/>
          <w:szCs w:val="18"/>
        </w:rPr>
        <w:t>9仅适用于四肢大关节骨关节损伤后遗关节运动活动度受限合并周围神经损伤后遗相关肌群肌力下降所致关节功能障碍的情形。单纯中枢神经或者周围神经损伤所致关节功能障碍的情形应适用专门性条款。（2）当关节活动受限于某一方位时，其同一轴位的另一方位功能丧失值以100%计。如腕关节掌屈和背屈，轴位相同，但方位不同。当腕关节活动限制在掌屈10度与50度之间，则掌屈以40度计（查表求得功能丧失值为30%），而背屈功能丧失值以100%计。（3）</w:t>
      </w:r>
      <w:r>
        <w:rPr>
          <w:rFonts w:hint="eastAsia" w:ascii="华文楷体" w:hAnsi="华文楷体" w:eastAsia="华文楷体"/>
          <w:sz w:val="18"/>
          <w:szCs w:val="18"/>
        </w:rPr>
        <w:t>伤侧关节功能丧失值应与对（健）侧进行比较，即同时用查表法分别求出伤侧和对侧关节功能丧失值，并用伤侧关节功能丧失值减去对侧关节功能丧失值，其差值即为伤侧关节功能实际丧失值。</w:t>
      </w:r>
      <w:r>
        <w:rPr>
          <w:rFonts w:hint="eastAsia" w:ascii="华文楷体" w:hAnsi="华文楷体" w:eastAsia="华文楷体"/>
          <w:kern w:val="21"/>
          <w:sz w:val="18"/>
          <w:szCs w:val="18"/>
        </w:rPr>
        <w:t>（4）由于本方法对于关节功能的评定已经考虑到肌力减退对于关节功能的影响，故在测量关节运动活动度时，应以关节被动活动度为准。</w:t>
      </w:r>
    </w:p>
    <w:p>
      <w:pPr>
        <w:pStyle w:val="15"/>
        <w:numPr>
          <w:numId w:val="0"/>
        </w:numPr>
        <w:wordWrap/>
        <w:spacing w:before="120" w:beforeLines="50" w:after="120" w:afterLines="50" w:line="340" w:lineRule="exact"/>
        <w:rPr>
          <w:rFonts w:hint="eastAsia"/>
        </w:rPr>
      </w:pPr>
      <w:r>
        <w:rPr>
          <w:rFonts w:hint="eastAsia"/>
        </w:rPr>
        <w:t>C.7.1肩关节功能丧失程度评定（见表C-4）</w:t>
      </w:r>
    </w:p>
    <w:p>
      <w:pPr>
        <w:pStyle w:val="21"/>
        <w:numPr>
          <w:numId w:val="0"/>
        </w:numPr>
        <w:spacing w:before="120" w:beforeLines="0" w:after="120" w:afterLines="0"/>
        <w:rPr>
          <w:rFonts w:hint="eastAsia"/>
        </w:rPr>
      </w:pPr>
      <w:r>
        <w:rPr>
          <w:rFonts w:hint="eastAsia"/>
        </w:rPr>
        <w:t>表C-4 肩关节功能丧失程度（%）</w:t>
      </w:r>
    </w:p>
    <w:tbl>
      <w:tblPr>
        <w:tblStyle w:val="8"/>
        <w:tblW w:w="60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236"/>
        <w:gridCol w:w="853"/>
        <w:gridCol w:w="852"/>
        <w:gridCol w:w="852"/>
        <w:gridCol w:w="852"/>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restart"/>
            <w:tcBorders>
              <w:left w:val="nil"/>
              <w:right w:val="single" w:color="auto" w:sz="4" w:space="0"/>
            </w:tcBorders>
            <w:vAlign w:val="top"/>
          </w:tcPr>
          <w:p>
            <w:pPr>
              <w:pStyle w:val="2"/>
              <w:spacing w:line="240" w:lineRule="exact"/>
              <w:jc w:val="center"/>
              <w:rPr>
                <w:rFonts w:hint="eastAsia" w:hAnsi="宋体"/>
                <w:sz w:val="18"/>
                <w:szCs w:val="18"/>
              </w:rPr>
            </w:pPr>
          </w:p>
        </w:tc>
        <w:tc>
          <w:tcPr>
            <w:tcW w:w="1236" w:type="dxa"/>
            <w:vMerge w:val="restart"/>
            <w:tcBorders>
              <w:left w:val="single" w:color="auto" w:sz="4" w:space="0"/>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关节运动</w:t>
            </w:r>
          </w:p>
          <w:p>
            <w:pPr>
              <w:pStyle w:val="2"/>
              <w:spacing w:line="240" w:lineRule="exact"/>
              <w:jc w:val="center"/>
              <w:rPr>
                <w:rFonts w:hint="eastAsia" w:hAnsi="宋体"/>
                <w:sz w:val="18"/>
                <w:szCs w:val="18"/>
              </w:rPr>
            </w:pPr>
            <w:r>
              <w:rPr>
                <w:rFonts w:hint="eastAsia" w:hAnsi="宋体"/>
                <w:sz w:val="18"/>
                <w:szCs w:val="18"/>
              </w:rPr>
              <w:t>活动度</w:t>
            </w:r>
          </w:p>
        </w:tc>
        <w:tc>
          <w:tcPr>
            <w:tcW w:w="4261" w:type="dxa"/>
            <w:gridSpan w:val="5"/>
            <w:tcBorders>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肌     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left w:val="nil"/>
              <w:right w:val="single" w:color="auto" w:sz="4" w:space="0"/>
            </w:tcBorders>
            <w:shd w:val="clear" w:color="auto" w:fill="auto"/>
            <w:vAlign w:val="top"/>
          </w:tcPr>
          <w:p>
            <w:pPr>
              <w:pStyle w:val="2"/>
              <w:spacing w:line="240" w:lineRule="exact"/>
              <w:jc w:val="center"/>
              <w:rPr>
                <w:rFonts w:hint="eastAsia" w:hAnsi="宋体"/>
                <w:sz w:val="18"/>
                <w:szCs w:val="18"/>
              </w:rPr>
            </w:pPr>
          </w:p>
        </w:tc>
        <w:tc>
          <w:tcPr>
            <w:tcW w:w="1236" w:type="dxa"/>
            <w:vMerge w:val="continue"/>
            <w:tcBorders>
              <w:top w:val="nil"/>
              <w:left w:val="single" w:color="auto" w:sz="4" w:space="0"/>
              <w:bottom w:val="single" w:color="auto" w:sz="4" w:space="0"/>
              <w:right w:val="nil"/>
            </w:tcBorders>
            <w:shd w:val="clear" w:color="auto" w:fill="auto"/>
            <w:vAlign w:val="top"/>
          </w:tcPr>
          <w:p>
            <w:pPr>
              <w:pStyle w:val="2"/>
              <w:spacing w:line="240" w:lineRule="exact"/>
              <w:jc w:val="center"/>
              <w:rPr>
                <w:rFonts w:hint="eastAsia" w:hAnsi="宋体"/>
                <w:sz w:val="18"/>
                <w:szCs w:val="18"/>
              </w:rPr>
            </w:pPr>
          </w:p>
        </w:tc>
        <w:tc>
          <w:tcPr>
            <w:tcW w:w="853" w:type="dxa"/>
            <w:tcBorders>
              <w:top w:val="single" w:color="auto" w:sz="4" w:space="0"/>
              <w:left w:val="nil"/>
              <w:bottom w:val="single" w:color="auto" w:sz="4" w:space="0"/>
              <w:right w:val="nil"/>
            </w:tcBorders>
            <w:shd w:val="clear" w:color="auto" w:fill="FFFFFF"/>
            <w:vAlign w:val="top"/>
          </w:tcPr>
          <w:p>
            <w:pPr>
              <w:pStyle w:val="2"/>
              <w:spacing w:line="240" w:lineRule="exact"/>
              <w:jc w:val="center"/>
              <w:rPr>
                <w:rFonts w:hint="eastAsia" w:hAnsi="宋体"/>
                <w:sz w:val="18"/>
                <w:szCs w:val="18"/>
              </w:rPr>
            </w:pPr>
            <w:r>
              <w:rPr>
                <w:rFonts w:hint="eastAsia" w:hAnsi="宋体"/>
                <w:sz w:val="18"/>
                <w:szCs w:val="18"/>
              </w:rPr>
              <w:t>≤M1</w:t>
            </w:r>
          </w:p>
        </w:tc>
        <w:tc>
          <w:tcPr>
            <w:tcW w:w="852" w:type="dxa"/>
            <w:tcBorders>
              <w:top w:val="single" w:color="auto" w:sz="4" w:space="0"/>
              <w:left w:val="nil"/>
              <w:bottom w:val="single" w:color="auto" w:sz="4" w:space="0"/>
              <w:right w:val="nil"/>
            </w:tcBorders>
            <w:shd w:val="clear" w:color="auto" w:fill="FFFFFF"/>
            <w:vAlign w:val="top"/>
          </w:tcPr>
          <w:p>
            <w:pPr>
              <w:pStyle w:val="2"/>
              <w:spacing w:line="240" w:lineRule="exact"/>
              <w:jc w:val="center"/>
              <w:rPr>
                <w:rFonts w:hint="eastAsia" w:hAnsi="宋体"/>
                <w:sz w:val="18"/>
                <w:szCs w:val="18"/>
              </w:rPr>
            </w:pPr>
            <w:r>
              <w:rPr>
                <w:rFonts w:hint="eastAsia" w:hAnsi="宋体"/>
                <w:sz w:val="18"/>
                <w:szCs w:val="18"/>
              </w:rPr>
              <w:t>M2</w:t>
            </w:r>
          </w:p>
        </w:tc>
        <w:tc>
          <w:tcPr>
            <w:tcW w:w="852" w:type="dxa"/>
            <w:tcBorders>
              <w:top w:val="single" w:color="auto" w:sz="4" w:space="0"/>
              <w:left w:val="nil"/>
              <w:bottom w:val="single" w:color="auto" w:sz="4" w:space="0"/>
              <w:right w:val="nil"/>
            </w:tcBorders>
            <w:shd w:val="clear" w:color="auto" w:fill="FFFFFF"/>
            <w:vAlign w:val="top"/>
          </w:tcPr>
          <w:p>
            <w:pPr>
              <w:pStyle w:val="2"/>
              <w:spacing w:line="240" w:lineRule="exact"/>
              <w:jc w:val="center"/>
              <w:rPr>
                <w:rFonts w:hint="eastAsia" w:hAnsi="宋体"/>
                <w:sz w:val="18"/>
                <w:szCs w:val="18"/>
              </w:rPr>
            </w:pPr>
            <w:r>
              <w:rPr>
                <w:rFonts w:hint="eastAsia" w:hAnsi="宋体"/>
                <w:sz w:val="18"/>
                <w:szCs w:val="18"/>
              </w:rPr>
              <w:t>M3</w:t>
            </w:r>
          </w:p>
        </w:tc>
        <w:tc>
          <w:tcPr>
            <w:tcW w:w="852" w:type="dxa"/>
            <w:tcBorders>
              <w:top w:val="single" w:color="auto" w:sz="4" w:space="0"/>
              <w:left w:val="nil"/>
              <w:bottom w:val="single" w:color="auto" w:sz="4" w:space="0"/>
              <w:right w:val="nil"/>
            </w:tcBorders>
            <w:shd w:val="clear" w:color="auto" w:fill="FFFFFF"/>
            <w:vAlign w:val="top"/>
          </w:tcPr>
          <w:p>
            <w:pPr>
              <w:pStyle w:val="2"/>
              <w:spacing w:line="240" w:lineRule="exact"/>
              <w:jc w:val="center"/>
              <w:rPr>
                <w:rFonts w:hint="eastAsia" w:hAnsi="宋体"/>
                <w:sz w:val="18"/>
                <w:szCs w:val="18"/>
              </w:rPr>
            </w:pPr>
            <w:r>
              <w:rPr>
                <w:rFonts w:hint="eastAsia" w:hAnsi="宋体"/>
                <w:sz w:val="18"/>
                <w:szCs w:val="18"/>
              </w:rPr>
              <w:t>M4</w:t>
            </w:r>
          </w:p>
        </w:tc>
        <w:tc>
          <w:tcPr>
            <w:tcW w:w="852" w:type="dxa"/>
            <w:tcBorders>
              <w:top w:val="single" w:color="auto" w:sz="4" w:space="0"/>
              <w:left w:val="nil"/>
              <w:bottom w:val="single" w:color="auto" w:sz="4" w:space="0"/>
              <w:right w:val="nil"/>
            </w:tcBorders>
            <w:shd w:val="clear" w:color="auto" w:fill="FFFFFF"/>
            <w:vAlign w:val="top"/>
          </w:tcPr>
          <w:p>
            <w:pPr>
              <w:pStyle w:val="2"/>
              <w:spacing w:line="240" w:lineRule="exact"/>
              <w:jc w:val="center"/>
              <w:rPr>
                <w:rFonts w:hint="eastAsia" w:hAnsi="宋体"/>
                <w:sz w:val="18"/>
                <w:szCs w:val="18"/>
              </w:rPr>
            </w:pPr>
            <w:r>
              <w:rPr>
                <w:rFonts w:hint="eastAsia" w:hAnsi="宋体"/>
                <w:sz w:val="18"/>
                <w:szCs w:val="18"/>
              </w:rPr>
              <w:t>M5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restart"/>
            <w:tcBorders>
              <w:top w:val="single" w:color="auto" w:sz="4" w:space="0"/>
              <w:left w:val="nil"/>
              <w:right w:val="single" w:color="auto" w:sz="4" w:space="0"/>
            </w:tcBorders>
            <w:shd w:val="clear" w:color="auto" w:fill="FFFFFF"/>
            <w:vAlign w:val="top"/>
          </w:tcPr>
          <w:p>
            <w:pPr>
              <w:pStyle w:val="2"/>
              <w:spacing w:line="240" w:lineRule="exact"/>
              <w:jc w:val="center"/>
              <w:rPr>
                <w:rFonts w:hint="eastAsia" w:hAnsi="宋体"/>
                <w:sz w:val="18"/>
                <w:szCs w:val="18"/>
              </w:rPr>
            </w:pPr>
          </w:p>
          <w:p>
            <w:pPr>
              <w:pStyle w:val="2"/>
              <w:spacing w:line="240" w:lineRule="exact"/>
              <w:jc w:val="center"/>
              <w:rPr>
                <w:rFonts w:hint="eastAsia" w:hAnsi="宋体"/>
                <w:sz w:val="18"/>
                <w:szCs w:val="18"/>
              </w:rPr>
            </w:pPr>
          </w:p>
          <w:p>
            <w:pPr>
              <w:pStyle w:val="2"/>
              <w:spacing w:line="240" w:lineRule="exact"/>
              <w:jc w:val="center"/>
              <w:rPr>
                <w:rFonts w:hint="eastAsia" w:hAnsi="宋体"/>
                <w:sz w:val="18"/>
                <w:szCs w:val="18"/>
              </w:rPr>
            </w:pPr>
            <w:r>
              <w:rPr>
                <w:rFonts w:hint="eastAsia" w:hAnsi="宋体"/>
                <w:sz w:val="18"/>
                <w:szCs w:val="18"/>
              </w:rPr>
              <w:t>前</w:t>
            </w:r>
          </w:p>
          <w:p>
            <w:pPr>
              <w:pStyle w:val="2"/>
              <w:spacing w:line="240" w:lineRule="exact"/>
              <w:jc w:val="center"/>
              <w:rPr>
                <w:rFonts w:hint="eastAsia" w:hAnsi="宋体"/>
                <w:sz w:val="18"/>
                <w:szCs w:val="18"/>
              </w:rPr>
            </w:pPr>
          </w:p>
          <w:p>
            <w:pPr>
              <w:pStyle w:val="2"/>
              <w:spacing w:line="240" w:lineRule="exact"/>
              <w:jc w:val="center"/>
              <w:rPr>
                <w:rFonts w:hint="eastAsia" w:hAnsi="宋体"/>
                <w:sz w:val="18"/>
                <w:szCs w:val="18"/>
              </w:rPr>
            </w:pPr>
          </w:p>
          <w:p>
            <w:pPr>
              <w:spacing w:line="240" w:lineRule="exact"/>
              <w:jc w:val="center"/>
              <w:rPr>
                <w:rFonts w:hint="eastAsia" w:ascii="宋体" w:hAnsi="宋体"/>
                <w:sz w:val="18"/>
                <w:szCs w:val="18"/>
              </w:rPr>
            </w:pPr>
            <w:r>
              <w:rPr>
                <w:rFonts w:hint="eastAsia" w:ascii="宋体" w:hAnsi="宋体"/>
                <w:sz w:val="18"/>
                <w:szCs w:val="18"/>
              </w:rPr>
              <w:t>屈</w:t>
            </w:r>
          </w:p>
        </w:tc>
        <w:tc>
          <w:tcPr>
            <w:tcW w:w="1236" w:type="dxa"/>
            <w:tcBorders>
              <w:top w:val="single" w:color="auto" w:sz="4" w:space="0"/>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≥171</w:t>
            </w:r>
          </w:p>
        </w:tc>
        <w:tc>
          <w:tcPr>
            <w:tcW w:w="853"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75</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50</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25</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25"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151～170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77</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55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32</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131～150</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60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40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111～130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82</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65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47</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91～110</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55</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25"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71～90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87</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62</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51～70</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left w:val="nil"/>
              <w:bottom w:val="single" w:color="auto" w:sz="4" w:space="0"/>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31～50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92</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77</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left w:val="nil"/>
              <w:bottom w:val="single" w:color="auto" w:sz="4" w:space="0"/>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single" w:color="auto" w:sz="4" w:space="0"/>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≤30</w:t>
            </w:r>
          </w:p>
        </w:tc>
        <w:tc>
          <w:tcPr>
            <w:tcW w:w="853"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95</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25" w:type="dxa"/>
            <w:vMerge w:val="restart"/>
            <w:tcBorders>
              <w:top w:val="single" w:color="auto" w:sz="4" w:space="0"/>
              <w:left w:val="nil"/>
              <w:right w:val="single" w:color="auto" w:sz="4" w:space="0"/>
            </w:tcBorders>
            <w:shd w:val="clear" w:color="auto" w:fill="FFFFFF"/>
            <w:vAlign w:val="top"/>
          </w:tcPr>
          <w:p>
            <w:pPr>
              <w:pStyle w:val="2"/>
              <w:spacing w:line="240" w:lineRule="exact"/>
              <w:jc w:val="center"/>
              <w:rPr>
                <w:rFonts w:hint="eastAsia" w:hAnsi="宋体"/>
                <w:sz w:val="18"/>
                <w:szCs w:val="18"/>
              </w:rPr>
            </w:pPr>
          </w:p>
          <w:p>
            <w:pPr>
              <w:pStyle w:val="2"/>
              <w:spacing w:line="240" w:lineRule="exact"/>
              <w:jc w:val="center"/>
              <w:rPr>
                <w:rFonts w:hint="eastAsia" w:hAnsi="宋体"/>
                <w:sz w:val="18"/>
                <w:szCs w:val="18"/>
              </w:rPr>
            </w:pPr>
            <w:r>
              <w:rPr>
                <w:rFonts w:hint="eastAsia" w:hAnsi="宋体"/>
                <w:sz w:val="18"/>
                <w:szCs w:val="18"/>
              </w:rPr>
              <w:t>后</w:t>
            </w:r>
          </w:p>
          <w:p>
            <w:pPr>
              <w:pStyle w:val="2"/>
              <w:spacing w:line="240" w:lineRule="exact"/>
              <w:jc w:val="center"/>
              <w:rPr>
                <w:rFonts w:hint="eastAsia" w:hAnsi="宋体"/>
                <w:sz w:val="18"/>
                <w:szCs w:val="18"/>
              </w:rPr>
            </w:pPr>
          </w:p>
          <w:p>
            <w:pPr>
              <w:spacing w:line="240" w:lineRule="exact"/>
              <w:jc w:val="center"/>
              <w:rPr>
                <w:rFonts w:hint="eastAsia" w:ascii="宋体" w:hAnsi="宋体"/>
                <w:sz w:val="18"/>
                <w:szCs w:val="18"/>
              </w:rPr>
            </w:pPr>
            <w:r>
              <w:rPr>
                <w:rFonts w:hint="eastAsia" w:ascii="宋体" w:hAnsi="宋体"/>
                <w:sz w:val="18"/>
                <w:szCs w:val="18"/>
              </w:rPr>
              <w:t>伸</w:t>
            </w:r>
          </w:p>
        </w:tc>
        <w:tc>
          <w:tcPr>
            <w:tcW w:w="1236" w:type="dxa"/>
            <w:tcBorders>
              <w:top w:val="single" w:color="auto" w:sz="4" w:space="0"/>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≥41</w:t>
            </w:r>
          </w:p>
        </w:tc>
        <w:tc>
          <w:tcPr>
            <w:tcW w:w="853"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75</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50</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25</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31～40</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60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40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21～30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55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11～20</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25" w:type="dxa"/>
            <w:vMerge w:val="continue"/>
            <w:tcBorders>
              <w:left w:val="nil"/>
              <w:bottom w:val="single" w:color="auto" w:sz="4" w:space="0"/>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single" w:color="auto" w:sz="4" w:space="0"/>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≤10</w:t>
            </w:r>
          </w:p>
        </w:tc>
        <w:tc>
          <w:tcPr>
            <w:tcW w:w="853"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95</w:t>
            </w:r>
          </w:p>
        </w:tc>
        <w:tc>
          <w:tcPr>
            <w:tcW w:w="852"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restart"/>
            <w:tcBorders>
              <w:top w:val="single" w:color="auto" w:sz="4" w:space="0"/>
              <w:left w:val="nil"/>
              <w:right w:val="single" w:color="auto" w:sz="4" w:space="0"/>
            </w:tcBorders>
            <w:shd w:val="clear" w:color="auto" w:fill="FFFFFF"/>
            <w:vAlign w:val="top"/>
          </w:tcPr>
          <w:p>
            <w:pPr>
              <w:pStyle w:val="2"/>
              <w:spacing w:line="240" w:lineRule="exact"/>
              <w:jc w:val="center"/>
              <w:rPr>
                <w:rFonts w:hint="eastAsia" w:hAnsi="宋体"/>
                <w:sz w:val="18"/>
                <w:szCs w:val="18"/>
              </w:rPr>
            </w:pPr>
          </w:p>
          <w:p>
            <w:pPr>
              <w:pStyle w:val="2"/>
              <w:spacing w:line="240" w:lineRule="exact"/>
              <w:jc w:val="center"/>
              <w:rPr>
                <w:rFonts w:hint="eastAsia" w:hAnsi="宋体"/>
                <w:sz w:val="18"/>
                <w:szCs w:val="18"/>
              </w:rPr>
            </w:pPr>
          </w:p>
          <w:p>
            <w:pPr>
              <w:pStyle w:val="2"/>
              <w:spacing w:line="240" w:lineRule="exact"/>
              <w:jc w:val="center"/>
              <w:rPr>
                <w:rFonts w:hint="eastAsia" w:hAnsi="宋体"/>
                <w:sz w:val="18"/>
                <w:szCs w:val="18"/>
              </w:rPr>
            </w:pPr>
            <w:r>
              <w:rPr>
                <w:rFonts w:hint="eastAsia" w:hAnsi="宋体"/>
                <w:sz w:val="18"/>
                <w:szCs w:val="18"/>
              </w:rPr>
              <w:t>外</w:t>
            </w:r>
          </w:p>
          <w:p>
            <w:pPr>
              <w:pStyle w:val="2"/>
              <w:spacing w:line="240" w:lineRule="exact"/>
              <w:jc w:val="center"/>
              <w:rPr>
                <w:rFonts w:hint="eastAsia" w:hAnsi="宋体"/>
                <w:sz w:val="18"/>
                <w:szCs w:val="18"/>
              </w:rPr>
            </w:pPr>
          </w:p>
          <w:p>
            <w:pPr>
              <w:pStyle w:val="2"/>
              <w:spacing w:line="240" w:lineRule="exact"/>
              <w:jc w:val="center"/>
              <w:rPr>
                <w:rFonts w:hint="eastAsia" w:hAnsi="宋体"/>
                <w:sz w:val="18"/>
                <w:szCs w:val="18"/>
              </w:rPr>
            </w:pPr>
          </w:p>
          <w:p>
            <w:pPr>
              <w:spacing w:line="240" w:lineRule="exact"/>
              <w:jc w:val="center"/>
              <w:rPr>
                <w:rFonts w:hint="eastAsia" w:ascii="宋体" w:hAnsi="宋体"/>
                <w:sz w:val="18"/>
                <w:szCs w:val="18"/>
              </w:rPr>
            </w:pPr>
            <w:r>
              <w:rPr>
                <w:rFonts w:hint="eastAsia" w:ascii="宋体" w:hAnsi="宋体"/>
                <w:sz w:val="18"/>
                <w:szCs w:val="18"/>
              </w:rPr>
              <w:t>展</w:t>
            </w:r>
          </w:p>
        </w:tc>
        <w:tc>
          <w:tcPr>
            <w:tcW w:w="1236" w:type="dxa"/>
            <w:tcBorders>
              <w:top w:val="single" w:color="auto" w:sz="4" w:space="0"/>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≥171</w:t>
            </w:r>
          </w:p>
        </w:tc>
        <w:tc>
          <w:tcPr>
            <w:tcW w:w="853"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75</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50</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25</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top w:val="single" w:color="auto" w:sz="4" w:space="0"/>
              <w:left w:val="nil"/>
              <w:right w:val="single" w:color="auto" w:sz="4" w:space="0"/>
            </w:tcBorders>
            <w:shd w:val="clear" w:color="auto" w:fill="FFFFFF"/>
            <w:vAlign w:val="top"/>
          </w:tcPr>
          <w:p>
            <w:pPr>
              <w:pStyle w:val="2"/>
              <w:spacing w:line="240" w:lineRule="exact"/>
              <w:jc w:val="center"/>
              <w:rPr>
                <w:rFonts w:hint="eastAsia"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151～170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77</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55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32</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top w:val="single" w:color="auto" w:sz="4" w:space="0"/>
              <w:left w:val="nil"/>
              <w:right w:val="single" w:color="auto" w:sz="4" w:space="0"/>
            </w:tcBorders>
            <w:shd w:val="clear" w:color="auto" w:fill="FFFFFF"/>
            <w:vAlign w:val="top"/>
          </w:tcPr>
          <w:p>
            <w:pPr>
              <w:pStyle w:val="2"/>
              <w:spacing w:line="240" w:lineRule="exact"/>
              <w:jc w:val="center"/>
              <w:rPr>
                <w:rFonts w:hint="eastAsia"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131～150</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60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40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25" w:type="dxa"/>
            <w:vMerge w:val="continue"/>
            <w:tcBorders>
              <w:top w:val="single" w:color="auto" w:sz="4" w:space="0"/>
              <w:left w:val="nil"/>
              <w:right w:val="single" w:color="auto" w:sz="4" w:space="0"/>
            </w:tcBorders>
            <w:shd w:val="clear" w:color="auto" w:fill="FFFFFF"/>
            <w:vAlign w:val="top"/>
          </w:tcPr>
          <w:p>
            <w:pPr>
              <w:pStyle w:val="2"/>
              <w:spacing w:line="240" w:lineRule="exact"/>
              <w:jc w:val="center"/>
              <w:rPr>
                <w:rFonts w:hint="eastAsia"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111～130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82</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65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47</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top w:val="single" w:color="auto" w:sz="4" w:space="0"/>
              <w:left w:val="nil"/>
              <w:right w:val="single" w:color="auto" w:sz="4" w:space="0"/>
            </w:tcBorders>
            <w:shd w:val="clear" w:color="auto" w:fill="FFFFFF"/>
            <w:vAlign w:val="top"/>
          </w:tcPr>
          <w:p>
            <w:pPr>
              <w:pStyle w:val="2"/>
              <w:spacing w:line="240" w:lineRule="exact"/>
              <w:jc w:val="center"/>
              <w:rPr>
                <w:rFonts w:hint="eastAsia"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91～110</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55</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71～90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87</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62</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51～70</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25"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31～50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92</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77</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left w:val="nil"/>
              <w:bottom w:val="single" w:color="auto" w:sz="4" w:space="0"/>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single" w:color="auto" w:sz="4" w:space="0"/>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≤30</w:t>
            </w:r>
          </w:p>
        </w:tc>
        <w:tc>
          <w:tcPr>
            <w:tcW w:w="853"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95</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restart"/>
            <w:tcBorders>
              <w:top w:val="single" w:color="auto" w:sz="4" w:space="0"/>
              <w:left w:val="nil"/>
              <w:bottom w:val="single" w:color="auto" w:sz="4" w:space="0"/>
              <w:right w:val="single" w:color="auto" w:sz="4" w:space="0"/>
            </w:tcBorders>
            <w:shd w:val="clear" w:color="auto" w:fill="FFFFFF"/>
            <w:vAlign w:val="top"/>
          </w:tcPr>
          <w:p>
            <w:pPr>
              <w:pStyle w:val="2"/>
              <w:spacing w:line="240" w:lineRule="exact"/>
              <w:jc w:val="center"/>
              <w:rPr>
                <w:rFonts w:hint="eastAsia" w:hAnsi="宋体"/>
                <w:sz w:val="18"/>
                <w:szCs w:val="18"/>
              </w:rPr>
            </w:pPr>
          </w:p>
          <w:p>
            <w:pPr>
              <w:pStyle w:val="2"/>
              <w:spacing w:line="240" w:lineRule="exact"/>
              <w:jc w:val="center"/>
              <w:rPr>
                <w:rFonts w:hint="eastAsia" w:hAnsi="宋体"/>
                <w:sz w:val="18"/>
                <w:szCs w:val="18"/>
              </w:rPr>
            </w:pPr>
            <w:r>
              <w:rPr>
                <w:rFonts w:hint="eastAsia" w:hAnsi="宋体"/>
                <w:sz w:val="18"/>
                <w:szCs w:val="18"/>
              </w:rPr>
              <w:t>内</w:t>
            </w:r>
          </w:p>
          <w:p>
            <w:pPr>
              <w:pStyle w:val="2"/>
              <w:spacing w:line="240" w:lineRule="exact"/>
              <w:jc w:val="center"/>
              <w:rPr>
                <w:rFonts w:hint="eastAsia" w:hAnsi="宋体"/>
                <w:sz w:val="18"/>
                <w:szCs w:val="18"/>
              </w:rPr>
            </w:pPr>
          </w:p>
          <w:p>
            <w:pPr>
              <w:spacing w:line="240" w:lineRule="exact"/>
              <w:jc w:val="center"/>
              <w:rPr>
                <w:rFonts w:hint="eastAsia" w:ascii="宋体" w:hAnsi="宋体"/>
                <w:sz w:val="18"/>
                <w:szCs w:val="18"/>
              </w:rPr>
            </w:pPr>
            <w:r>
              <w:rPr>
                <w:rFonts w:hint="eastAsia" w:ascii="宋体" w:hAnsi="宋体"/>
                <w:sz w:val="18"/>
                <w:szCs w:val="18"/>
              </w:rPr>
              <w:t>收</w:t>
            </w:r>
          </w:p>
        </w:tc>
        <w:tc>
          <w:tcPr>
            <w:tcW w:w="1236" w:type="dxa"/>
            <w:tcBorders>
              <w:top w:val="single" w:color="auto" w:sz="4" w:space="0"/>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≥41</w:t>
            </w:r>
          </w:p>
        </w:tc>
        <w:tc>
          <w:tcPr>
            <w:tcW w:w="853"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75</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50</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25</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top w:val="nil"/>
              <w:left w:val="nil"/>
              <w:bottom w:val="single" w:color="auto" w:sz="4" w:space="0"/>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31～40</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60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40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25" w:type="dxa"/>
            <w:vMerge w:val="continue"/>
            <w:tcBorders>
              <w:top w:val="nil"/>
              <w:left w:val="nil"/>
              <w:bottom w:val="single" w:color="auto" w:sz="4" w:space="0"/>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21～30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55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top w:val="nil"/>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11～20</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left w:val="nil"/>
              <w:bottom w:val="single" w:color="auto" w:sz="4" w:space="0"/>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single" w:color="auto" w:sz="4" w:space="0"/>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≤10</w:t>
            </w:r>
          </w:p>
        </w:tc>
        <w:tc>
          <w:tcPr>
            <w:tcW w:w="853"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95</w:t>
            </w:r>
          </w:p>
        </w:tc>
        <w:tc>
          <w:tcPr>
            <w:tcW w:w="852"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restart"/>
            <w:tcBorders>
              <w:top w:val="single" w:color="auto" w:sz="4" w:space="0"/>
              <w:left w:val="nil"/>
              <w:bottom w:val="single" w:color="auto" w:sz="4" w:space="0"/>
              <w:right w:val="single" w:color="auto" w:sz="4" w:space="0"/>
            </w:tcBorders>
            <w:shd w:val="clear" w:color="auto" w:fill="FFFFFF"/>
            <w:vAlign w:val="top"/>
          </w:tcPr>
          <w:p>
            <w:pPr>
              <w:pStyle w:val="2"/>
              <w:spacing w:line="240" w:lineRule="exact"/>
              <w:jc w:val="center"/>
              <w:rPr>
                <w:rFonts w:hint="eastAsia" w:hAnsi="宋体"/>
                <w:sz w:val="18"/>
                <w:szCs w:val="18"/>
              </w:rPr>
            </w:pPr>
          </w:p>
          <w:p>
            <w:pPr>
              <w:pStyle w:val="2"/>
              <w:spacing w:line="240" w:lineRule="exact"/>
              <w:jc w:val="center"/>
              <w:rPr>
                <w:rFonts w:hint="eastAsia" w:hAnsi="宋体"/>
                <w:sz w:val="18"/>
                <w:szCs w:val="18"/>
              </w:rPr>
            </w:pPr>
          </w:p>
          <w:p>
            <w:pPr>
              <w:pStyle w:val="2"/>
              <w:spacing w:line="240" w:lineRule="exact"/>
              <w:jc w:val="center"/>
              <w:rPr>
                <w:rFonts w:hint="eastAsia" w:hAnsi="宋体"/>
                <w:sz w:val="18"/>
                <w:szCs w:val="18"/>
              </w:rPr>
            </w:pPr>
            <w:r>
              <w:rPr>
                <w:rFonts w:hint="eastAsia" w:hAnsi="宋体"/>
                <w:sz w:val="18"/>
                <w:szCs w:val="18"/>
              </w:rPr>
              <w:t>内</w:t>
            </w:r>
          </w:p>
          <w:p>
            <w:pPr>
              <w:pStyle w:val="2"/>
              <w:spacing w:line="240" w:lineRule="exact"/>
              <w:jc w:val="center"/>
              <w:rPr>
                <w:rFonts w:hint="eastAsia" w:hAnsi="宋体"/>
                <w:sz w:val="18"/>
                <w:szCs w:val="18"/>
              </w:rPr>
            </w:pPr>
          </w:p>
          <w:p>
            <w:pPr>
              <w:pStyle w:val="2"/>
              <w:spacing w:line="240" w:lineRule="exact"/>
              <w:jc w:val="center"/>
              <w:rPr>
                <w:rFonts w:hint="eastAsia" w:hAnsi="宋体"/>
                <w:sz w:val="18"/>
                <w:szCs w:val="18"/>
              </w:rPr>
            </w:pPr>
          </w:p>
          <w:p>
            <w:pPr>
              <w:spacing w:line="240" w:lineRule="exact"/>
              <w:jc w:val="center"/>
              <w:rPr>
                <w:rFonts w:hint="eastAsia" w:ascii="宋体" w:hAnsi="宋体"/>
                <w:sz w:val="18"/>
                <w:szCs w:val="18"/>
              </w:rPr>
            </w:pPr>
            <w:r>
              <w:rPr>
                <w:rFonts w:hint="eastAsia" w:ascii="宋体" w:hAnsi="宋体"/>
                <w:sz w:val="18"/>
                <w:szCs w:val="18"/>
              </w:rPr>
              <w:t>旋</w:t>
            </w:r>
          </w:p>
        </w:tc>
        <w:tc>
          <w:tcPr>
            <w:tcW w:w="1236" w:type="dxa"/>
            <w:tcBorders>
              <w:top w:val="single" w:color="auto" w:sz="4" w:space="0"/>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≥81</w:t>
            </w:r>
          </w:p>
        </w:tc>
        <w:tc>
          <w:tcPr>
            <w:tcW w:w="853"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75</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50</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25</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25" w:type="dxa"/>
            <w:vMerge w:val="continue"/>
            <w:tcBorders>
              <w:top w:val="nil"/>
              <w:left w:val="nil"/>
              <w:bottom w:val="single" w:color="auto" w:sz="4" w:space="0"/>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vAlign w:val="top"/>
          </w:tcPr>
          <w:p>
            <w:pPr>
              <w:spacing w:line="240" w:lineRule="exact"/>
              <w:jc w:val="center"/>
              <w:rPr>
                <w:rFonts w:hint="eastAsia" w:ascii="宋体" w:hAnsi="宋体"/>
                <w:sz w:val="18"/>
                <w:szCs w:val="18"/>
              </w:rPr>
            </w:pPr>
            <w:r>
              <w:rPr>
                <w:rFonts w:hint="eastAsia" w:ascii="宋体" w:hAnsi="宋体"/>
                <w:sz w:val="18"/>
                <w:szCs w:val="18"/>
              </w:rPr>
              <w:t>71～80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77</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55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32</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top w:val="nil"/>
              <w:left w:val="nil"/>
              <w:bottom w:val="single" w:color="auto" w:sz="4" w:space="0"/>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61～70</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60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40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top w:val="nil"/>
              <w:left w:val="nil"/>
              <w:bottom w:val="single" w:color="auto" w:sz="4" w:space="0"/>
              <w:right w:val="single" w:color="auto" w:sz="4" w:space="0"/>
            </w:tcBorders>
            <w:shd w:val="clear" w:color="auto" w:fill="E0E0E0"/>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vAlign w:val="top"/>
          </w:tcPr>
          <w:p>
            <w:pPr>
              <w:spacing w:line="240" w:lineRule="exact"/>
              <w:jc w:val="center"/>
              <w:rPr>
                <w:rFonts w:hint="eastAsia" w:ascii="宋体" w:hAnsi="宋体"/>
                <w:sz w:val="18"/>
                <w:szCs w:val="18"/>
              </w:rPr>
            </w:pPr>
            <w:r>
              <w:rPr>
                <w:rFonts w:hint="eastAsia" w:ascii="宋体" w:hAnsi="宋体"/>
                <w:sz w:val="18"/>
                <w:szCs w:val="18"/>
              </w:rPr>
              <w:t>51～60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82</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65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47</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top w:val="nil"/>
              <w:left w:val="nil"/>
              <w:bottom w:val="single" w:color="auto" w:sz="4" w:space="0"/>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41～50</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55</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25" w:type="dxa"/>
            <w:vMerge w:val="continue"/>
            <w:tcBorders>
              <w:top w:val="nil"/>
              <w:left w:val="nil"/>
              <w:bottom w:val="single" w:color="auto" w:sz="4" w:space="0"/>
              <w:right w:val="single" w:color="auto" w:sz="4" w:space="0"/>
            </w:tcBorders>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vAlign w:val="top"/>
          </w:tcPr>
          <w:p>
            <w:pPr>
              <w:spacing w:line="240" w:lineRule="exact"/>
              <w:jc w:val="center"/>
              <w:rPr>
                <w:rFonts w:hint="eastAsia" w:ascii="宋体" w:hAnsi="宋体"/>
                <w:sz w:val="18"/>
                <w:szCs w:val="18"/>
              </w:rPr>
            </w:pPr>
            <w:r>
              <w:rPr>
                <w:rFonts w:hint="eastAsia" w:ascii="宋体" w:hAnsi="宋体"/>
                <w:sz w:val="18"/>
                <w:szCs w:val="18"/>
              </w:rPr>
              <w:t>31～40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87</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62</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top w:val="nil"/>
              <w:left w:val="nil"/>
              <w:bottom w:val="single" w:color="auto" w:sz="4" w:space="0"/>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21～30</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top w:val="nil"/>
              <w:left w:val="nil"/>
              <w:bottom w:val="single" w:color="auto" w:sz="4" w:space="0"/>
              <w:right w:val="single" w:color="auto" w:sz="4" w:space="0"/>
            </w:tcBorders>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vAlign w:val="top"/>
          </w:tcPr>
          <w:p>
            <w:pPr>
              <w:spacing w:line="240" w:lineRule="exact"/>
              <w:jc w:val="center"/>
              <w:rPr>
                <w:rFonts w:hint="eastAsia" w:ascii="宋体" w:hAnsi="宋体"/>
                <w:sz w:val="18"/>
                <w:szCs w:val="18"/>
              </w:rPr>
            </w:pPr>
            <w:r>
              <w:rPr>
                <w:rFonts w:hint="eastAsia" w:ascii="宋体" w:hAnsi="宋体"/>
                <w:sz w:val="18"/>
                <w:szCs w:val="18"/>
              </w:rPr>
              <w:t>11～20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92</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77</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top w:val="nil"/>
              <w:left w:val="nil"/>
              <w:bottom w:val="single" w:color="auto" w:sz="4" w:space="0"/>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single" w:color="auto" w:sz="4" w:space="0"/>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≤10</w:t>
            </w:r>
          </w:p>
        </w:tc>
        <w:tc>
          <w:tcPr>
            <w:tcW w:w="853"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95</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25" w:type="dxa"/>
            <w:vMerge w:val="restart"/>
            <w:tcBorders>
              <w:top w:val="single" w:color="auto" w:sz="4" w:space="0"/>
              <w:left w:val="nil"/>
              <w:bottom w:val="single" w:color="auto" w:sz="4" w:space="0"/>
              <w:right w:val="single" w:color="auto" w:sz="4" w:space="0"/>
            </w:tcBorders>
            <w:shd w:val="clear" w:color="auto" w:fill="FFFFFF"/>
            <w:vAlign w:val="top"/>
          </w:tcPr>
          <w:p>
            <w:pPr>
              <w:pStyle w:val="2"/>
              <w:spacing w:line="240" w:lineRule="exact"/>
              <w:jc w:val="center"/>
              <w:rPr>
                <w:rFonts w:hint="eastAsia" w:hAnsi="宋体"/>
                <w:sz w:val="18"/>
                <w:szCs w:val="18"/>
              </w:rPr>
            </w:pPr>
          </w:p>
          <w:p>
            <w:pPr>
              <w:pStyle w:val="2"/>
              <w:spacing w:line="240" w:lineRule="exact"/>
              <w:jc w:val="center"/>
              <w:rPr>
                <w:rFonts w:hint="eastAsia" w:hAnsi="宋体"/>
                <w:sz w:val="18"/>
                <w:szCs w:val="18"/>
              </w:rPr>
            </w:pPr>
          </w:p>
          <w:p>
            <w:pPr>
              <w:pStyle w:val="2"/>
              <w:spacing w:line="240" w:lineRule="exact"/>
              <w:jc w:val="center"/>
              <w:rPr>
                <w:rFonts w:hint="eastAsia" w:hAnsi="宋体"/>
                <w:sz w:val="18"/>
                <w:szCs w:val="18"/>
              </w:rPr>
            </w:pPr>
            <w:r>
              <w:rPr>
                <w:rFonts w:hint="eastAsia" w:hAnsi="宋体"/>
                <w:sz w:val="18"/>
                <w:szCs w:val="18"/>
              </w:rPr>
              <w:t>外</w:t>
            </w:r>
          </w:p>
          <w:p>
            <w:pPr>
              <w:pStyle w:val="2"/>
              <w:spacing w:line="240" w:lineRule="exact"/>
              <w:jc w:val="center"/>
              <w:rPr>
                <w:rFonts w:hint="eastAsia" w:hAnsi="宋体"/>
                <w:sz w:val="18"/>
                <w:szCs w:val="18"/>
              </w:rPr>
            </w:pPr>
          </w:p>
          <w:p>
            <w:pPr>
              <w:pStyle w:val="2"/>
              <w:spacing w:line="240" w:lineRule="exact"/>
              <w:jc w:val="center"/>
              <w:rPr>
                <w:rFonts w:hint="eastAsia" w:hAnsi="宋体"/>
                <w:sz w:val="18"/>
                <w:szCs w:val="18"/>
              </w:rPr>
            </w:pPr>
          </w:p>
          <w:p>
            <w:pPr>
              <w:spacing w:line="240" w:lineRule="exact"/>
              <w:jc w:val="center"/>
              <w:rPr>
                <w:rFonts w:hint="eastAsia" w:ascii="宋体" w:hAnsi="宋体"/>
                <w:sz w:val="18"/>
                <w:szCs w:val="18"/>
              </w:rPr>
            </w:pPr>
            <w:r>
              <w:rPr>
                <w:rFonts w:hint="eastAsia" w:ascii="宋体" w:hAnsi="宋体"/>
                <w:sz w:val="18"/>
                <w:szCs w:val="18"/>
              </w:rPr>
              <w:t>旋</w:t>
            </w:r>
          </w:p>
        </w:tc>
        <w:tc>
          <w:tcPr>
            <w:tcW w:w="1236" w:type="dxa"/>
            <w:tcBorders>
              <w:top w:val="single" w:color="auto" w:sz="4" w:space="0"/>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≥81</w:t>
            </w:r>
          </w:p>
        </w:tc>
        <w:tc>
          <w:tcPr>
            <w:tcW w:w="853"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75</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50</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25</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top w:val="single" w:color="auto" w:sz="4" w:space="0"/>
              <w:left w:val="nil"/>
              <w:bottom w:val="single" w:color="auto" w:sz="4" w:space="0"/>
              <w:right w:val="single" w:color="auto" w:sz="4" w:space="0"/>
            </w:tcBorders>
            <w:shd w:val="clear" w:color="auto" w:fill="FFFFFF"/>
            <w:vAlign w:val="top"/>
          </w:tcPr>
          <w:p>
            <w:pPr>
              <w:pStyle w:val="2"/>
              <w:spacing w:line="240" w:lineRule="exact"/>
              <w:jc w:val="center"/>
              <w:rPr>
                <w:rFonts w:hint="eastAsia"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71～80</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77</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55</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32</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top w:val="single" w:color="auto" w:sz="4" w:space="0"/>
              <w:left w:val="nil"/>
              <w:bottom w:val="single" w:color="auto" w:sz="4" w:space="0"/>
              <w:right w:val="single" w:color="auto" w:sz="4" w:space="0"/>
            </w:tcBorders>
            <w:shd w:val="clear" w:color="auto" w:fill="FFFFFF"/>
            <w:vAlign w:val="top"/>
          </w:tcPr>
          <w:p>
            <w:pPr>
              <w:pStyle w:val="2"/>
              <w:spacing w:line="240" w:lineRule="exact"/>
              <w:jc w:val="center"/>
              <w:rPr>
                <w:rFonts w:hint="eastAsia"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61～70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60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40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top w:val="single" w:color="auto" w:sz="4" w:space="0"/>
              <w:left w:val="nil"/>
              <w:bottom w:val="single" w:color="auto" w:sz="4" w:space="0"/>
              <w:right w:val="single" w:color="auto" w:sz="4" w:space="0"/>
            </w:tcBorders>
            <w:shd w:val="clear" w:color="auto" w:fill="FFFFFF"/>
            <w:vAlign w:val="top"/>
          </w:tcPr>
          <w:p>
            <w:pPr>
              <w:pStyle w:val="2"/>
              <w:spacing w:line="240" w:lineRule="exact"/>
              <w:jc w:val="center"/>
              <w:rPr>
                <w:rFonts w:hint="eastAsia"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51～60</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82</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65</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47</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25" w:type="dxa"/>
            <w:vMerge w:val="continue"/>
            <w:tcBorders>
              <w:top w:val="single" w:color="auto" w:sz="4" w:space="0"/>
              <w:left w:val="nil"/>
              <w:bottom w:val="single" w:color="auto" w:sz="4" w:space="0"/>
              <w:right w:val="single" w:color="auto" w:sz="4" w:space="0"/>
            </w:tcBorders>
            <w:shd w:val="clear" w:color="auto" w:fill="FFFFFF"/>
            <w:vAlign w:val="top"/>
          </w:tcPr>
          <w:p>
            <w:pPr>
              <w:pStyle w:val="2"/>
              <w:spacing w:line="240" w:lineRule="exact"/>
              <w:jc w:val="center"/>
              <w:rPr>
                <w:rFonts w:hint="eastAsia"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41～50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55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top w:val="nil"/>
              <w:left w:val="nil"/>
              <w:bottom w:val="single" w:color="auto" w:sz="4" w:space="0"/>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31～40</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87</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75</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62</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top w:val="nil"/>
              <w:left w:val="nil"/>
              <w:bottom w:val="single" w:color="auto" w:sz="4" w:space="0"/>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21～30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top w:val="nil"/>
              <w:left w:val="nil"/>
              <w:bottom w:val="single" w:color="auto" w:sz="4" w:space="0"/>
              <w:right w:val="single" w:color="auto" w:sz="4" w:space="0"/>
            </w:tcBorders>
            <w:shd w:val="clear" w:color="auto" w:fill="FFFFFF"/>
            <w:vAlign w:val="top"/>
          </w:tcPr>
          <w:p>
            <w:pPr>
              <w:tabs>
                <w:tab w:val="center" w:pos="522"/>
              </w:tabs>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11～20</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92</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77</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25" w:type="dxa"/>
            <w:vMerge w:val="continue"/>
            <w:tcBorders>
              <w:top w:val="nil"/>
              <w:left w:val="nil"/>
              <w:bottom w:val="single" w:color="auto" w:sz="4" w:space="0"/>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single" w:color="auto" w:sz="4" w:space="0"/>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≤10</w:t>
            </w:r>
          </w:p>
        </w:tc>
        <w:tc>
          <w:tcPr>
            <w:tcW w:w="853"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95</w:t>
            </w:r>
          </w:p>
        </w:tc>
        <w:tc>
          <w:tcPr>
            <w:tcW w:w="852"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80</w:t>
            </w:r>
          </w:p>
        </w:tc>
      </w:tr>
    </w:tbl>
    <w:p>
      <w:pPr>
        <w:pStyle w:val="15"/>
        <w:numPr>
          <w:numId w:val="0"/>
        </w:numPr>
        <w:wordWrap/>
        <w:spacing w:before="120" w:beforeLines="50" w:after="120" w:afterLines="50" w:line="340" w:lineRule="exact"/>
        <w:rPr>
          <w:rFonts w:hint="eastAsia"/>
        </w:rPr>
      </w:pPr>
      <w:r>
        <w:rPr>
          <w:rFonts w:hint="eastAsia"/>
        </w:rPr>
        <w:t>C.7.2肘关节功能丧失程度评定（见表C-5）</w:t>
      </w:r>
    </w:p>
    <w:p>
      <w:pPr>
        <w:pStyle w:val="21"/>
        <w:numPr>
          <w:numId w:val="0"/>
        </w:numPr>
        <w:spacing w:before="120" w:beforeLines="0" w:after="120" w:afterLines="0"/>
        <w:ind w:left="-2" w:leftChars="-1"/>
        <w:rPr>
          <w:rFonts w:hint="eastAsia" w:cs="宋体-18030"/>
        </w:rPr>
      </w:pPr>
      <w:r>
        <w:rPr>
          <w:rFonts w:hint="eastAsia"/>
        </w:rPr>
        <w:t>表C-5 肘关节功能丧失程度（%）</w:t>
      </w:r>
    </w:p>
    <w:tbl>
      <w:tblPr>
        <w:tblStyle w:val="8"/>
        <w:tblW w:w="60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236"/>
        <w:gridCol w:w="853"/>
        <w:gridCol w:w="852"/>
        <w:gridCol w:w="852"/>
        <w:gridCol w:w="852"/>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82" w:type="dxa"/>
            <w:vMerge w:val="restart"/>
            <w:tcBorders>
              <w:left w:val="nil"/>
              <w:right w:val="single" w:color="auto" w:sz="4" w:space="0"/>
            </w:tcBorders>
            <w:vAlign w:val="top"/>
          </w:tcPr>
          <w:p>
            <w:pPr>
              <w:pStyle w:val="2"/>
              <w:spacing w:line="240" w:lineRule="exact"/>
              <w:jc w:val="center"/>
              <w:rPr>
                <w:rFonts w:hint="eastAsia" w:hAnsi="宋体"/>
                <w:sz w:val="18"/>
                <w:szCs w:val="18"/>
              </w:rPr>
            </w:pPr>
          </w:p>
        </w:tc>
        <w:tc>
          <w:tcPr>
            <w:tcW w:w="1236" w:type="dxa"/>
            <w:vMerge w:val="restart"/>
            <w:tcBorders>
              <w:left w:val="single" w:color="auto" w:sz="4" w:space="0"/>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关节运动</w:t>
            </w:r>
          </w:p>
          <w:p>
            <w:pPr>
              <w:pStyle w:val="2"/>
              <w:spacing w:line="240" w:lineRule="exact"/>
              <w:jc w:val="center"/>
              <w:rPr>
                <w:rFonts w:hint="eastAsia" w:hAnsi="宋体"/>
                <w:sz w:val="18"/>
                <w:szCs w:val="18"/>
              </w:rPr>
            </w:pPr>
            <w:r>
              <w:rPr>
                <w:rFonts w:hint="eastAsia" w:hAnsi="宋体"/>
                <w:sz w:val="18"/>
                <w:szCs w:val="18"/>
              </w:rPr>
              <w:t>活动度</w:t>
            </w:r>
          </w:p>
        </w:tc>
        <w:tc>
          <w:tcPr>
            <w:tcW w:w="4261" w:type="dxa"/>
            <w:gridSpan w:val="5"/>
            <w:tcBorders>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肌     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82" w:type="dxa"/>
            <w:vMerge w:val="continue"/>
            <w:tcBorders>
              <w:left w:val="nil"/>
              <w:bottom w:val="single" w:color="auto" w:sz="4" w:space="0"/>
              <w:right w:val="single" w:color="auto" w:sz="4" w:space="0"/>
            </w:tcBorders>
            <w:vAlign w:val="top"/>
          </w:tcPr>
          <w:p>
            <w:pPr>
              <w:pStyle w:val="2"/>
              <w:spacing w:line="240" w:lineRule="exact"/>
              <w:jc w:val="center"/>
              <w:rPr>
                <w:rFonts w:hint="eastAsia" w:hAnsi="宋体"/>
                <w:sz w:val="18"/>
                <w:szCs w:val="18"/>
              </w:rPr>
            </w:pPr>
          </w:p>
        </w:tc>
        <w:tc>
          <w:tcPr>
            <w:tcW w:w="1236" w:type="dxa"/>
            <w:vMerge w:val="continue"/>
            <w:tcBorders>
              <w:top w:val="nil"/>
              <w:left w:val="single" w:color="auto" w:sz="4" w:space="0"/>
              <w:bottom w:val="single" w:color="auto" w:sz="4" w:space="0"/>
              <w:right w:val="nil"/>
            </w:tcBorders>
            <w:vAlign w:val="top"/>
          </w:tcPr>
          <w:p>
            <w:pPr>
              <w:pStyle w:val="2"/>
              <w:spacing w:line="240" w:lineRule="exact"/>
              <w:jc w:val="center"/>
              <w:rPr>
                <w:rFonts w:hint="eastAsia" w:hAnsi="宋体"/>
                <w:sz w:val="18"/>
                <w:szCs w:val="18"/>
              </w:rPr>
            </w:pPr>
          </w:p>
        </w:tc>
        <w:tc>
          <w:tcPr>
            <w:tcW w:w="853" w:type="dxa"/>
            <w:tcBorders>
              <w:top w:val="single" w:color="auto" w:sz="4" w:space="0"/>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≤M1</w:t>
            </w:r>
          </w:p>
        </w:tc>
        <w:tc>
          <w:tcPr>
            <w:tcW w:w="852" w:type="dxa"/>
            <w:tcBorders>
              <w:top w:val="single" w:color="auto" w:sz="4" w:space="0"/>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M2</w:t>
            </w:r>
          </w:p>
        </w:tc>
        <w:tc>
          <w:tcPr>
            <w:tcW w:w="852" w:type="dxa"/>
            <w:tcBorders>
              <w:top w:val="single" w:color="auto" w:sz="4" w:space="0"/>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M3</w:t>
            </w:r>
          </w:p>
        </w:tc>
        <w:tc>
          <w:tcPr>
            <w:tcW w:w="852" w:type="dxa"/>
            <w:tcBorders>
              <w:top w:val="single" w:color="auto" w:sz="4" w:space="0"/>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M4</w:t>
            </w:r>
          </w:p>
        </w:tc>
        <w:tc>
          <w:tcPr>
            <w:tcW w:w="852" w:type="dxa"/>
            <w:tcBorders>
              <w:top w:val="single" w:color="auto" w:sz="4" w:space="0"/>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M5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82" w:type="dxa"/>
            <w:vMerge w:val="restart"/>
            <w:tcBorders>
              <w:top w:val="single" w:color="auto" w:sz="4" w:space="0"/>
              <w:left w:val="nil"/>
              <w:right w:val="single" w:color="auto" w:sz="4" w:space="0"/>
            </w:tcBorders>
            <w:shd w:val="clear" w:color="auto" w:fill="FFFFFF"/>
            <w:vAlign w:val="top"/>
          </w:tcPr>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r>
              <w:rPr>
                <w:rFonts w:hint="eastAsia" w:ascii="宋体" w:hAnsi="宋体"/>
                <w:sz w:val="18"/>
                <w:szCs w:val="18"/>
              </w:rPr>
              <w:t>屈</w:t>
            </w:r>
          </w:p>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r>
              <w:rPr>
                <w:rFonts w:hint="eastAsia" w:ascii="宋体" w:hAnsi="宋体"/>
                <w:sz w:val="18"/>
                <w:szCs w:val="18"/>
              </w:rPr>
              <w:t>曲</w:t>
            </w:r>
          </w:p>
        </w:tc>
        <w:tc>
          <w:tcPr>
            <w:tcW w:w="1236" w:type="dxa"/>
            <w:tcBorders>
              <w:top w:val="single" w:color="auto" w:sz="4" w:space="0"/>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≥41</w:t>
            </w:r>
          </w:p>
        </w:tc>
        <w:tc>
          <w:tcPr>
            <w:tcW w:w="853"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75</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50</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25</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82"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36～40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77</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55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32</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82"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31～35</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60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40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82"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26～30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82</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65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47</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82"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21～25</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55</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82"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16～20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87</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62</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82"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11～15</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82"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6～10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92</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77</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82" w:type="dxa"/>
            <w:vMerge w:val="continue"/>
            <w:tcBorders>
              <w:left w:val="nil"/>
              <w:bottom w:val="single" w:color="auto" w:sz="4" w:space="0"/>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single" w:color="auto" w:sz="4" w:space="0"/>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≤5</w:t>
            </w:r>
          </w:p>
        </w:tc>
        <w:tc>
          <w:tcPr>
            <w:tcW w:w="853"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95</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82" w:type="dxa"/>
            <w:vMerge w:val="restart"/>
            <w:tcBorders>
              <w:top w:val="single" w:color="auto" w:sz="4" w:space="0"/>
              <w:left w:val="nil"/>
              <w:right w:val="single" w:color="auto" w:sz="4" w:space="0"/>
            </w:tcBorders>
            <w:shd w:val="clear" w:color="auto" w:fill="FFFFFF"/>
            <w:vAlign w:val="top"/>
          </w:tcPr>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r>
              <w:rPr>
                <w:rFonts w:hint="eastAsia" w:ascii="宋体" w:hAnsi="宋体"/>
                <w:sz w:val="18"/>
                <w:szCs w:val="18"/>
              </w:rPr>
              <w:t>伸</w:t>
            </w:r>
          </w:p>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r>
              <w:rPr>
                <w:rFonts w:hint="eastAsia" w:ascii="宋体" w:hAnsi="宋体"/>
                <w:sz w:val="18"/>
                <w:szCs w:val="18"/>
              </w:rPr>
              <w:t>展</w:t>
            </w:r>
          </w:p>
        </w:tc>
        <w:tc>
          <w:tcPr>
            <w:tcW w:w="1236" w:type="dxa"/>
            <w:tcBorders>
              <w:top w:val="single" w:color="auto" w:sz="4" w:space="0"/>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81～90</w:t>
            </w:r>
          </w:p>
        </w:tc>
        <w:tc>
          <w:tcPr>
            <w:tcW w:w="853"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75</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50</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25</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82"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71～80</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77</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55</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32</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82"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61～70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60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40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82"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51～60</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82</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65</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47</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82"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41～50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55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82"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31～40</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87</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75</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62</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82"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21～30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82"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11～20</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92</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77</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82" w:type="dxa"/>
            <w:vMerge w:val="continue"/>
            <w:tcBorders>
              <w:left w:val="nil"/>
              <w:bottom w:val="single" w:color="auto" w:sz="4" w:space="0"/>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single" w:color="auto" w:sz="4" w:space="0"/>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≤10</w:t>
            </w:r>
          </w:p>
        </w:tc>
        <w:tc>
          <w:tcPr>
            <w:tcW w:w="853"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95</w:t>
            </w:r>
          </w:p>
        </w:tc>
        <w:tc>
          <w:tcPr>
            <w:tcW w:w="852"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80</w:t>
            </w:r>
          </w:p>
        </w:tc>
      </w:tr>
    </w:tbl>
    <w:p>
      <w:pPr>
        <w:ind w:firstLine="360" w:firstLineChars="200"/>
        <w:rPr>
          <w:rFonts w:hint="eastAsia" w:ascii="华文楷体" w:hAnsi="华文楷体" w:eastAsia="华文楷体"/>
          <w:kern w:val="0"/>
          <w:sz w:val="18"/>
          <w:szCs w:val="18"/>
        </w:rPr>
      </w:pPr>
      <w:r>
        <w:rPr>
          <w:rFonts w:hint="eastAsia" w:ascii="华文楷体" w:hAnsi="华文楷体" w:eastAsia="华文楷体"/>
          <w:kern w:val="0"/>
          <w:sz w:val="18"/>
          <w:szCs w:val="18"/>
        </w:rPr>
        <w:t>注：为方便肘关节功能计算，此处规定肘关节以屈曲90度为中立位0度。</w:t>
      </w:r>
    </w:p>
    <w:p>
      <w:pPr>
        <w:pStyle w:val="15"/>
        <w:numPr>
          <w:numId w:val="0"/>
        </w:numPr>
        <w:wordWrap/>
        <w:spacing w:before="120" w:beforeLines="50" w:after="120" w:afterLines="50"/>
        <w:rPr>
          <w:rFonts w:hint="eastAsia"/>
        </w:rPr>
      </w:pPr>
      <w:r>
        <w:rPr>
          <w:rFonts w:hint="eastAsia"/>
        </w:rPr>
        <w:t>C.7.3腕关节功能丧失程度评定（见表C-6）</w:t>
      </w:r>
    </w:p>
    <w:p>
      <w:pPr>
        <w:pStyle w:val="21"/>
        <w:numPr>
          <w:numId w:val="0"/>
        </w:numPr>
        <w:spacing w:before="120" w:beforeLines="0" w:after="120" w:afterLines="0"/>
        <w:ind w:leftChars="-67" w:hanging="141" w:hangingChars="67"/>
        <w:rPr>
          <w:rFonts w:hint="eastAsia"/>
        </w:rPr>
      </w:pPr>
      <w:r>
        <w:rPr>
          <w:rFonts w:hint="eastAsia"/>
        </w:rPr>
        <w:t>表C-6  腕关节功能丧失程度（%）</w:t>
      </w:r>
    </w:p>
    <w:tbl>
      <w:tblPr>
        <w:tblStyle w:val="8"/>
        <w:tblW w:w="60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236"/>
        <w:gridCol w:w="853"/>
        <w:gridCol w:w="852"/>
        <w:gridCol w:w="852"/>
        <w:gridCol w:w="852"/>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33" w:type="dxa"/>
            <w:vMerge w:val="restart"/>
            <w:tcBorders>
              <w:left w:val="nil"/>
              <w:bottom w:val="nil"/>
              <w:right w:val="single" w:color="auto" w:sz="4" w:space="0"/>
            </w:tcBorders>
            <w:shd w:val="clear" w:color="auto" w:fill="FFFFFF"/>
            <w:vAlign w:val="top"/>
          </w:tcPr>
          <w:p>
            <w:pPr>
              <w:pStyle w:val="2"/>
              <w:spacing w:line="240" w:lineRule="exact"/>
              <w:jc w:val="center"/>
              <w:rPr>
                <w:rFonts w:hint="eastAsia" w:hAnsi="宋体"/>
                <w:sz w:val="18"/>
                <w:szCs w:val="18"/>
              </w:rPr>
            </w:pPr>
          </w:p>
        </w:tc>
        <w:tc>
          <w:tcPr>
            <w:tcW w:w="1236" w:type="dxa"/>
            <w:vMerge w:val="restart"/>
            <w:tcBorders>
              <w:left w:val="single" w:color="auto" w:sz="4" w:space="0"/>
              <w:bottom w:val="nil"/>
              <w:right w:val="nil"/>
            </w:tcBorders>
            <w:shd w:val="clear" w:color="auto" w:fill="FFFFFF"/>
            <w:vAlign w:val="top"/>
          </w:tcPr>
          <w:p>
            <w:pPr>
              <w:pStyle w:val="2"/>
              <w:spacing w:line="240" w:lineRule="exact"/>
              <w:jc w:val="center"/>
              <w:rPr>
                <w:rFonts w:hint="eastAsia" w:hAnsi="宋体"/>
                <w:sz w:val="18"/>
                <w:szCs w:val="18"/>
              </w:rPr>
            </w:pPr>
            <w:r>
              <w:rPr>
                <w:rFonts w:hint="eastAsia" w:hAnsi="宋体"/>
                <w:sz w:val="18"/>
                <w:szCs w:val="18"/>
              </w:rPr>
              <w:t>关节运动</w:t>
            </w:r>
          </w:p>
          <w:p>
            <w:pPr>
              <w:pStyle w:val="2"/>
              <w:spacing w:line="240" w:lineRule="exact"/>
              <w:jc w:val="center"/>
              <w:rPr>
                <w:rFonts w:hint="eastAsia" w:hAnsi="宋体"/>
                <w:sz w:val="18"/>
                <w:szCs w:val="18"/>
              </w:rPr>
            </w:pPr>
            <w:r>
              <w:rPr>
                <w:rFonts w:hint="eastAsia" w:hAnsi="宋体"/>
                <w:sz w:val="18"/>
                <w:szCs w:val="18"/>
              </w:rPr>
              <w:t>活动度</w:t>
            </w:r>
          </w:p>
        </w:tc>
        <w:tc>
          <w:tcPr>
            <w:tcW w:w="4261" w:type="dxa"/>
            <w:gridSpan w:val="5"/>
            <w:tcBorders>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肌     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33" w:type="dxa"/>
            <w:vMerge w:val="continue"/>
            <w:tcBorders>
              <w:left w:val="nil"/>
              <w:bottom w:val="nil"/>
              <w:right w:val="single" w:color="auto" w:sz="4" w:space="0"/>
            </w:tcBorders>
            <w:shd w:val="clear" w:color="auto" w:fill="FFFFFF"/>
            <w:vAlign w:val="top"/>
          </w:tcPr>
          <w:p>
            <w:pPr>
              <w:pStyle w:val="2"/>
              <w:spacing w:line="240" w:lineRule="exact"/>
              <w:jc w:val="center"/>
              <w:rPr>
                <w:rFonts w:hint="eastAsia" w:hAnsi="宋体"/>
                <w:sz w:val="18"/>
                <w:szCs w:val="18"/>
              </w:rPr>
            </w:pPr>
          </w:p>
        </w:tc>
        <w:tc>
          <w:tcPr>
            <w:tcW w:w="1236" w:type="dxa"/>
            <w:vMerge w:val="continue"/>
            <w:tcBorders>
              <w:top w:val="nil"/>
              <w:left w:val="single" w:color="auto" w:sz="4" w:space="0"/>
              <w:bottom w:val="single" w:color="auto" w:sz="4" w:space="0"/>
              <w:right w:val="nil"/>
            </w:tcBorders>
            <w:shd w:val="clear" w:color="auto" w:fill="FFFFFF"/>
            <w:vAlign w:val="top"/>
          </w:tcPr>
          <w:p>
            <w:pPr>
              <w:pStyle w:val="2"/>
              <w:spacing w:line="240" w:lineRule="exact"/>
              <w:jc w:val="center"/>
              <w:rPr>
                <w:rFonts w:hint="eastAsia" w:hAnsi="宋体"/>
                <w:sz w:val="18"/>
                <w:szCs w:val="18"/>
              </w:rPr>
            </w:pPr>
          </w:p>
        </w:tc>
        <w:tc>
          <w:tcPr>
            <w:tcW w:w="853" w:type="dxa"/>
            <w:tcBorders>
              <w:top w:val="single" w:color="auto" w:sz="4" w:space="0"/>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≤M1</w:t>
            </w:r>
          </w:p>
        </w:tc>
        <w:tc>
          <w:tcPr>
            <w:tcW w:w="852" w:type="dxa"/>
            <w:tcBorders>
              <w:top w:val="single" w:color="auto" w:sz="4" w:space="0"/>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M2</w:t>
            </w:r>
          </w:p>
        </w:tc>
        <w:tc>
          <w:tcPr>
            <w:tcW w:w="852" w:type="dxa"/>
            <w:tcBorders>
              <w:top w:val="single" w:color="auto" w:sz="4" w:space="0"/>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M3</w:t>
            </w:r>
          </w:p>
        </w:tc>
        <w:tc>
          <w:tcPr>
            <w:tcW w:w="852" w:type="dxa"/>
            <w:tcBorders>
              <w:top w:val="single" w:color="auto" w:sz="4" w:space="0"/>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M4</w:t>
            </w:r>
          </w:p>
        </w:tc>
        <w:tc>
          <w:tcPr>
            <w:tcW w:w="852" w:type="dxa"/>
            <w:tcBorders>
              <w:top w:val="single" w:color="auto" w:sz="4" w:space="0"/>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M5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33" w:type="dxa"/>
            <w:vMerge w:val="restart"/>
            <w:tcBorders>
              <w:top w:val="single" w:color="auto" w:sz="4" w:space="0"/>
              <w:left w:val="nil"/>
              <w:bottom w:val="nil"/>
              <w:right w:val="single" w:color="auto" w:sz="4" w:space="0"/>
            </w:tcBorders>
            <w:shd w:val="clear" w:color="auto" w:fill="FFFFFF"/>
            <w:vAlign w:val="top"/>
          </w:tcPr>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r>
              <w:rPr>
                <w:rFonts w:hint="eastAsia" w:ascii="宋体" w:hAnsi="宋体"/>
                <w:sz w:val="18"/>
                <w:szCs w:val="18"/>
              </w:rPr>
              <w:t>掌</w:t>
            </w:r>
          </w:p>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r>
              <w:rPr>
                <w:rFonts w:hint="eastAsia" w:ascii="宋体" w:hAnsi="宋体"/>
                <w:sz w:val="18"/>
                <w:szCs w:val="18"/>
              </w:rPr>
              <w:t>屈</w:t>
            </w:r>
          </w:p>
        </w:tc>
        <w:tc>
          <w:tcPr>
            <w:tcW w:w="1236" w:type="dxa"/>
            <w:tcBorders>
              <w:top w:val="single" w:color="auto" w:sz="4" w:space="0"/>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≥61</w:t>
            </w:r>
          </w:p>
        </w:tc>
        <w:tc>
          <w:tcPr>
            <w:tcW w:w="853"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75</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50</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25</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33" w:type="dxa"/>
            <w:vMerge w:val="continue"/>
            <w:tcBorders>
              <w:top w:val="single" w:color="auto" w:sz="4" w:space="0"/>
              <w:left w:val="nil"/>
              <w:bottom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51～60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77</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55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32</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33" w:type="dxa"/>
            <w:vMerge w:val="continue"/>
            <w:tcBorders>
              <w:top w:val="nil"/>
              <w:left w:val="nil"/>
              <w:bottom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41～50</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60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40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33" w:type="dxa"/>
            <w:vMerge w:val="continue"/>
            <w:tcBorders>
              <w:left w:val="nil"/>
              <w:bottom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31～40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82</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65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47</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33" w:type="dxa"/>
            <w:vMerge w:val="continue"/>
            <w:tcBorders>
              <w:left w:val="nil"/>
              <w:bottom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26～30</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55</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33" w:type="dxa"/>
            <w:vMerge w:val="continue"/>
            <w:tcBorders>
              <w:left w:val="nil"/>
              <w:bottom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21～25</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87</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62</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33" w:type="dxa"/>
            <w:vMerge w:val="continue"/>
            <w:tcBorders>
              <w:left w:val="nil"/>
              <w:bottom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16～20</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33" w:type="dxa"/>
            <w:vMerge w:val="continue"/>
            <w:tcBorders>
              <w:left w:val="nil"/>
              <w:bottom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11～15</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92</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77</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33" w:type="dxa"/>
            <w:vMerge w:val="continue"/>
            <w:tcBorders>
              <w:left w:val="nil"/>
              <w:bottom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single" w:color="auto" w:sz="4" w:space="0"/>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≤10</w:t>
            </w:r>
          </w:p>
        </w:tc>
        <w:tc>
          <w:tcPr>
            <w:tcW w:w="853"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95</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33" w:type="dxa"/>
            <w:vMerge w:val="restart"/>
            <w:tcBorders>
              <w:top w:val="single" w:color="auto" w:sz="4" w:space="0"/>
              <w:left w:val="nil"/>
              <w:bottom w:val="nil"/>
              <w:right w:val="single" w:color="auto" w:sz="4" w:space="0"/>
            </w:tcBorders>
            <w:shd w:val="clear" w:color="auto" w:fill="FFFFFF"/>
            <w:vAlign w:val="top"/>
          </w:tcPr>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r>
              <w:rPr>
                <w:rFonts w:hint="eastAsia" w:ascii="宋体" w:hAnsi="宋体"/>
                <w:sz w:val="18"/>
                <w:szCs w:val="18"/>
              </w:rPr>
              <w:t>背</w:t>
            </w:r>
          </w:p>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r>
              <w:rPr>
                <w:rFonts w:hint="eastAsia" w:ascii="宋体" w:hAnsi="宋体"/>
                <w:sz w:val="18"/>
                <w:szCs w:val="18"/>
              </w:rPr>
              <w:t>屈</w:t>
            </w:r>
          </w:p>
        </w:tc>
        <w:tc>
          <w:tcPr>
            <w:tcW w:w="1236" w:type="dxa"/>
            <w:tcBorders>
              <w:top w:val="single" w:color="auto" w:sz="4" w:space="0"/>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≥61</w:t>
            </w:r>
          </w:p>
        </w:tc>
        <w:tc>
          <w:tcPr>
            <w:tcW w:w="853"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75</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50</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25</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33" w:type="dxa"/>
            <w:vMerge w:val="continue"/>
            <w:tcBorders>
              <w:top w:val="nil"/>
              <w:left w:val="nil"/>
              <w:bottom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51～60</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77</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55</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32</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33" w:type="dxa"/>
            <w:vMerge w:val="continue"/>
            <w:tcBorders>
              <w:top w:val="nil"/>
              <w:left w:val="nil"/>
              <w:bottom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41～50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60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40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33" w:type="dxa"/>
            <w:vMerge w:val="continue"/>
            <w:tcBorders>
              <w:top w:val="nil"/>
              <w:left w:val="nil"/>
              <w:bottom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31～40</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82</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65</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47</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33" w:type="dxa"/>
            <w:vMerge w:val="continue"/>
            <w:tcBorders>
              <w:top w:val="nil"/>
              <w:left w:val="nil"/>
              <w:bottom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26～30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55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33" w:type="dxa"/>
            <w:vMerge w:val="continue"/>
            <w:tcBorders>
              <w:top w:val="nil"/>
              <w:left w:val="nil"/>
              <w:bottom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21～25</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87</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75</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62</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33" w:type="dxa"/>
            <w:vMerge w:val="continue"/>
            <w:tcBorders>
              <w:top w:val="nil"/>
              <w:left w:val="nil"/>
              <w:bottom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16～20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33" w:type="dxa"/>
            <w:vMerge w:val="continue"/>
            <w:tcBorders>
              <w:top w:val="nil"/>
              <w:left w:val="nil"/>
              <w:bottom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11～15</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92</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77</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33" w:type="dxa"/>
            <w:vMerge w:val="continue"/>
            <w:tcBorders>
              <w:top w:val="nil"/>
              <w:left w:val="nil"/>
              <w:bottom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single" w:color="auto" w:sz="4" w:space="0"/>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≤10</w:t>
            </w:r>
          </w:p>
        </w:tc>
        <w:tc>
          <w:tcPr>
            <w:tcW w:w="853"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95</w:t>
            </w:r>
          </w:p>
        </w:tc>
        <w:tc>
          <w:tcPr>
            <w:tcW w:w="852"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33" w:type="dxa"/>
            <w:vMerge w:val="restart"/>
            <w:tcBorders>
              <w:top w:val="single" w:color="auto" w:sz="4" w:space="0"/>
              <w:left w:val="nil"/>
              <w:bottom w:val="nil"/>
              <w:right w:val="single" w:color="auto" w:sz="4" w:space="0"/>
            </w:tcBorders>
            <w:shd w:val="clear" w:color="auto" w:fill="FFFFFF"/>
            <w:vAlign w:val="top"/>
          </w:tcPr>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r>
              <w:rPr>
                <w:rFonts w:hint="eastAsia" w:ascii="宋体" w:hAnsi="宋体"/>
                <w:sz w:val="18"/>
                <w:szCs w:val="18"/>
              </w:rPr>
              <w:t>桡</w:t>
            </w:r>
          </w:p>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r>
              <w:rPr>
                <w:rFonts w:hint="eastAsia" w:ascii="宋体" w:hAnsi="宋体"/>
                <w:sz w:val="18"/>
                <w:szCs w:val="18"/>
              </w:rPr>
              <w:t>屈</w:t>
            </w:r>
          </w:p>
        </w:tc>
        <w:tc>
          <w:tcPr>
            <w:tcW w:w="1236" w:type="dxa"/>
            <w:tcBorders>
              <w:top w:val="single" w:color="auto" w:sz="4" w:space="0"/>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≥21</w:t>
            </w:r>
          </w:p>
        </w:tc>
        <w:tc>
          <w:tcPr>
            <w:tcW w:w="853"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75</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50</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25</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33" w:type="dxa"/>
            <w:vMerge w:val="continue"/>
            <w:tcBorders>
              <w:top w:val="nil"/>
              <w:left w:val="nil"/>
              <w:bottom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16～20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60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40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33" w:type="dxa"/>
            <w:vMerge w:val="continue"/>
            <w:tcBorders>
              <w:top w:val="nil"/>
              <w:left w:val="nil"/>
              <w:bottom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11～15</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55</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33" w:type="dxa"/>
            <w:vMerge w:val="continue"/>
            <w:tcBorders>
              <w:left w:val="nil"/>
              <w:bottom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6～10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33" w:type="dxa"/>
            <w:vMerge w:val="continue"/>
            <w:tcBorders>
              <w:left w:val="nil"/>
              <w:bottom w:val="single" w:color="auto" w:sz="4" w:space="0"/>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single" w:color="auto" w:sz="4" w:space="0"/>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≤5</w:t>
            </w:r>
          </w:p>
        </w:tc>
        <w:tc>
          <w:tcPr>
            <w:tcW w:w="853"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95</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33" w:type="dxa"/>
            <w:vMerge w:val="restart"/>
            <w:tcBorders>
              <w:top w:val="single" w:color="auto" w:sz="4" w:space="0"/>
              <w:left w:val="nil"/>
              <w:bottom w:val="nil"/>
              <w:right w:val="single" w:color="auto" w:sz="4" w:space="0"/>
            </w:tcBorders>
            <w:shd w:val="clear" w:color="auto" w:fill="FFFFFF"/>
            <w:vAlign w:val="top"/>
          </w:tcPr>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r>
              <w:rPr>
                <w:rFonts w:hint="eastAsia" w:ascii="宋体" w:hAnsi="宋体"/>
                <w:sz w:val="18"/>
                <w:szCs w:val="18"/>
              </w:rPr>
              <w:t>尺</w:t>
            </w:r>
          </w:p>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r>
              <w:rPr>
                <w:rFonts w:hint="eastAsia" w:ascii="宋体" w:hAnsi="宋体"/>
                <w:sz w:val="18"/>
                <w:szCs w:val="18"/>
              </w:rPr>
              <w:t>屈</w:t>
            </w:r>
          </w:p>
        </w:tc>
        <w:tc>
          <w:tcPr>
            <w:tcW w:w="1236" w:type="dxa"/>
            <w:tcBorders>
              <w:top w:val="single" w:color="auto" w:sz="4" w:space="0"/>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≥41</w:t>
            </w:r>
          </w:p>
        </w:tc>
        <w:tc>
          <w:tcPr>
            <w:tcW w:w="853"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75</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50</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25</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33" w:type="dxa"/>
            <w:vMerge w:val="continue"/>
            <w:tcBorders>
              <w:top w:val="nil"/>
              <w:left w:val="nil"/>
              <w:bottom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31～40</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60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40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33" w:type="dxa"/>
            <w:vMerge w:val="continue"/>
            <w:tcBorders>
              <w:top w:val="nil"/>
              <w:left w:val="nil"/>
              <w:bottom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21～30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55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33" w:type="dxa"/>
            <w:vMerge w:val="continue"/>
            <w:tcBorders>
              <w:left w:val="nil"/>
              <w:bottom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11～20</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33" w:type="dxa"/>
            <w:vMerge w:val="continue"/>
            <w:tcBorders>
              <w:left w:val="nil"/>
              <w:bottom w:val="single" w:color="auto" w:sz="4" w:space="0"/>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single" w:color="auto" w:sz="4" w:space="0"/>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≤10</w:t>
            </w:r>
          </w:p>
        </w:tc>
        <w:tc>
          <w:tcPr>
            <w:tcW w:w="853" w:type="dxa"/>
            <w:tcBorders>
              <w:top w:val="nil"/>
              <w:left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right w:val="nil"/>
            </w:tcBorders>
            <w:vAlign w:val="top"/>
          </w:tcPr>
          <w:p>
            <w:pPr>
              <w:pStyle w:val="2"/>
              <w:spacing w:line="240" w:lineRule="exact"/>
              <w:jc w:val="center"/>
              <w:rPr>
                <w:rFonts w:hint="eastAsia" w:hAnsi="宋体"/>
                <w:sz w:val="18"/>
                <w:szCs w:val="18"/>
              </w:rPr>
            </w:pPr>
            <w:r>
              <w:rPr>
                <w:rFonts w:hint="eastAsia" w:hAnsi="宋体"/>
                <w:sz w:val="18"/>
                <w:szCs w:val="18"/>
              </w:rPr>
              <w:t>95</w:t>
            </w:r>
          </w:p>
        </w:tc>
        <w:tc>
          <w:tcPr>
            <w:tcW w:w="852" w:type="dxa"/>
            <w:tcBorders>
              <w:top w:val="nil"/>
              <w:left w:val="nil"/>
              <w:right w:val="nil"/>
            </w:tcBorders>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right w:val="nil"/>
            </w:tcBorders>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right w:val="nil"/>
            </w:tcBorders>
            <w:vAlign w:val="top"/>
          </w:tcPr>
          <w:p>
            <w:pPr>
              <w:pStyle w:val="2"/>
              <w:spacing w:line="240" w:lineRule="exact"/>
              <w:jc w:val="center"/>
              <w:rPr>
                <w:rFonts w:hint="eastAsia" w:hAnsi="宋体"/>
                <w:sz w:val="18"/>
                <w:szCs w:val="18"/>
              </w:rPr>
            </w:pPr>
            <w:r>
              <w:rPr>
                <w:rFonts w:hint="eastAsia" w:hAnsi="宋体"/>
                <w:sz w:val="18"/>
                <w:szCs w:val="18"/>
              </w:rPr>
              <w:t>80</w:t>
            </w:r>
          </w:p>
        </w:tc>
      </w:tr>
    </w:tbl>
    <w:p>
      <w:pPr>
        <w:pStyle w:val="15"/>
        <w:numPr>
          <w:numId w:val="0"/>
        </w:numPr>
        <w:wordWrap/>
        <w:spacing w:before="120" w:beforeLines="50" w:after="120" w:afterLines="50" w:line="340" w:lineRule="exact"/>
        <w:rPr>
          <w:rFonts w:hint="eastAsia"/>
        </w:rPr>
      </w:pPr>
      <w:r>
        <w:rPr>
          <w:rFonts w:hint="eastAsia"/>
        </w:rPr>
        <w:t>C.7.4髋关节功能丧失程度评定（见表C-7）</w:t>
      </w:r>
    </w:p>
    <w:p>
      <w:pPr>
        <w:pStyle w:val="21"/>
        <w:numPr>
          <w:numId w:val="0"/>
        </w:numPr>
        <w:spacing w:before="120" w:beforeLines="0" w:after="120" w:afterLines="0"/>
        <w:rPr>
          <w:rFonts w:hint="eastAsia"/>
          <w:sz w:val="24"/>
        </w:rPr>
      </w:pPr>
      <w:r>
        <w:rPr>
          <w:rFonts w:hint="eastAsia"/>
        </w:rPr>
        <w:t>表C-7  髋关节功能丧失程度（%）</w:t>
      </w:r>
    </w:p>
    <w:tbl>
      <w:tblPr>
        <w:tblStyle w:val="8"/>
        <w:tblW w:w="60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236"/>
        <w:gridCol w:w="853"/>
        <w:gridCol w:w="852"/>
        <w:gridCol w:w="852"/>
        <w:gridCol w:w="852"/>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restart"/>
            <w:tcBorders>
              <w:left w:val="nil"/>
              <w:right w:val="single" w:color="auto" w:sz="4" w:space="0"/>
            </w:tcBorders>
            <w:shd w:val="clear" w:color="auto" w:fill="FFFFFF"/>
            <w:vAlign w:val="top"/>
          </w:tcPr>
          <w:p>
            <w:pPr>
              <w:pStyle w:val="2"/>
              <w:spacing w:line="240" w:lineRule="exact"/>
              <w:jc w:val="center"/>
              <w:rPr>
                <w:rFonts w:hint="eastAsia" w:hAnsi="宋体"/>
                <w:sz w:val="18"/>
                <w:szCs w:val="18"/>
              </w:rPr>
            </w:pPr>
          </w:p>
        </w:tc>
        <w:tc>
          <w:tcPr>
            <w:tcW w:w="1236" w:type="dxa"/>
            <w:vMerge w:val="restart"/>
            <w:tcBorders>
              <w:left w:val="single" w:color="auto" w:sz="4" w:space="0"/>
              <w:bottom w:val="nil"/>
              <w:right w:val="nil"/>
            </w:tcBorders>
            <w:shd w:val="clear" w:color="auto" w:fill="FFFFFF"/>
            <w:vAlign w:val="top"/>
          </w:tcPr>
          <w:p>
            <w:pPr>
              <w:pStyle w:val="2"/>
              <w:spacing w:line="240" w:lineRule="exact"/>
              <w:jc w:val="center"/>
              <w:rPr>
                <w:rFonts w:hint="eastAsia" w:hAnsi="宋体"/>
                <w:sz w:val="18"/>
                <w:szCs w:val="18"/>
              </w:rPr>
            </w:pPr>
            <w:r>
              <w:rPr>
                <w:rFonts w:hint="eastAsia" w:hAnsi="宋体"/>
                <w:sz w:val="18"/>
                <w:szCs w:val="18"/>
              </w:rPr>
              <w:t>关节运动</w:t>
            </w:r>
          </w:p>
          <w:p>
            <w:pPr>
              <w:pStyle w:val="2"/>
              <w:spacing w:line="240" w:lineRule="exact"/>
              <w:jc w:val="center"/>
              <w:rPr>
                <w:rFonts w:hint="eastAsia" w:hAnsi="宋体"/>
                <w:sz w:val="18"/>
                <w:szCs w:val="18"/>
              </w:rPr>
            </w:pPr>
            <w:r>
              <w:rPr>
                <w:rFonts w:hint="eastAsia" w:hAnsi="宋体"/>
                <w:sz w:val="18"/>
                <w:szCs w:val="18"/>
              </w:rPr>
              <w:t>活动度</w:t>
            </w:r>
          </w:p>
        </w:tc>
        <w:tc>
          <w:tcPr>
            <w:tcW w:w="4261" w:type="dxa"/>
            <w:gridSpan w:val="5"/>
            <w:tcBorders>
              <w:left w:val="nil"/>
              <w:bottom w:val="single" w:color="auto" w:sz="4" w:space="0"/>
              <w:right w:val="nil"/>
            </w:tcBorders>
            <w:shd w:val="clear" w:color="auto" w:fill="FFFFFF"/>
            <w:vAlign w:val="top"/>
          </w:tcPr>
          <w:p>
            <w:pPr>
              <w:pStyle w:val="2"/>
              <w:spacing w:line="240" w:lineRule="exact"/>
              <w:jc w:val="center"/>
              <w:rPr>
                <w:rFonts w:hint="eastAsia" w:hAnsi="宋体"/>
                <w:sz w:val="18"/>
                <w:szCs w:val="18"/>
              </w:rPr>
            </w:pPr>
            <w:r>
              <w:rPr>
                <w:rFonts w:hint="eastAsia" w:hAnsi="宋体"/>
                <w:sz w:val="18"/>
                <w:szCs w:val="18"/>
              </w:rPr>
              <w:t>肌     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left w:val="nil"/>
              <w:bottom w:val="single" w:color="auto" w:sz="4" w:space="0"/>
              <w:right w:val="single" w:color="auto" w:sz="4" w:space="0"/>
            </w:tcBorders>
            <w:shd w:val="clear" w:color="auto" w:fill="FFFFFF"/>
            <w:vAlign w:val="top"/>
          </w:tcPr>
          <w:p>
            <w:pPr>
              <w:pStyle w:val="2"/>
              <w:spacing w:line="240" w:lineRule="exact"/>
              <w:jc w:val="center"/>
              <w:rPr>
                <w:rFonts w:hint="eastAsia" w:hAnsi="宋体"/>
                <w:sz w:val="18"/>
                <w:szCs w:val="18"/>
              </w:rPr>
            </w:pPr>
          </w:p>
        </w:tc>
        <w:tc>
          <w:tcPr>
            <w:tcW w:w="1236" w:type="dxa"/>
            <w:vMerge w:val="continue"/>
            <w:tcBorders>
              <w:top w:val="nil"/>
              <w:left w:val="single" w:color="auto" w:sz="4" w:space="0"/>
              <w:bottom w:val="single" w:color="auto" w:sz="4" w:space="0"/>
              <w:right w:val="nil"/>
            </w:tcBorders>
            <w:shd w:val="clear" w:color="auto" w:fill="FFFFFF"/>
            <w:vAlign w:val="top"/>
          </w:tcPr>
          <w:p>
            <w:pPr>
              <w:pStyle w:val="2"/>
              <w:spacing w:line="240" w:lineRule="exact"/>
              <w:jc w:val="center"/>
              <w:rPr>
                <w:rFonts w:hint="eastAsia" w:hAnsi="宋体"/>
                <w:sz w:val="18"/>
                <w:szCs w:val="18"/>
              </w:rPr>
            </w:pPr>
          </w:p>
        </w:tc>
        <w:tc>
          <w:tcPr>
            <w:tcW w:w="853" w:type="dxa"/>
            <w:tcBorders>
              <w:top w:val="single" w:color="auto" w:sz="4" w:space="0"/>
              <w:left w:val="nil"/>
              <w:bottom w:val="single" w:color="auto" w:sz="4" w:space="0"/>
              <w:right w:val="nil"/>
            </w:tcBorders>
            <w:shd w:val="clear" w:color="auto" w:fill="FFFFFF"/>
            <w:vAlign w:val="top"/>
          </w:tcPr>
          <w:p>
            <w:pPr>
              <w:pStyle w:val="2"/>
              <w:spacing w:line="240" w:lineRule="exact"/>
              <w:jc w:val="center"/>
              <w:rPr>
                <w:rFonts w:hint="eastAsia" w:hAnsi="宋体"/>
                <w:sz w:val="18"/>
                <w:szCs w:val="18"/>
              </w:rPr>
            </w:pPr>
            <w:r>
              <w:rPr>
                <w:rFonts w:hint="eastAsia" w:hAnsi="宋体"/>
                <w:sz w:val="18"/>
                <w:szCs w:val="18"/>
              </w:rPr>
              <w:t>≤M1</w:t>
            </w:r>
          </w:p>
        </w:tc>
        <w:tc>
          <w:tcPr>
            <w:tcW w:w="852" w:type="dxa"/>
            <w:tcBorders>
              <w:top w:val="single" w:color="auto" w:sz="4" w:space="0"/>
              <w:left w:val="nil"/>
              <w:bottom w:val="single" w:color="auto" w:sz="4" w:space="0"/>
              <w:right w:val="nil"/>
            </w:tcBorders>
            <w:shd w:val="clear" w:color="auto" w:fill="FFFFFF"/>
            <w:vAlign w:val="top"/>
          </w:tcPr>
          <w:p>
            <w:pPr>
              <w:pStyle w:val="2"/>
              <w:spacing w:line="240" w:lineRule="exact"/>
              <w:jc w:val="center"/>
              <w:rPr>
                <w:rFonts w:hint="eastAsia" w:hAnsi="宋体"/>
                <w:sz w:val="18"/>
                <w:szCs w:val="18"/>
              </w:rPr>
            </w:pPr>
            <w:r>
              <w:rPr>
                <w:rFonts w:hint="eastAsia" w:hAnsi="宋体"/>
                <w:sz w:val="18"/>
                <w:szCs w:val="18"/>
              </w:rPr>
              <w:t>M2</w:t>
            </w:r>
          </w:p>
        </w:tc>
        <w:tc>
          <w:tcPr>
            <w:tcW w:w="852" w:type="dxa"/>
            <w:tcBorders>
              <w:top w:val="single" w:color="auto" w:sz="4" w:space="0"/>
              <w:left w:val="nil"/>
              <w:bottom w:val="single" w:color="auto" w:sz="4" w:space="0"/>
              <w:right w:val="nil"/>
            </w:tcBorders>
            <w:shd w:val="clear" w:color="auto" w:fill="FFFFFF"/>
            <w:vAlign w:val="top"/>
          </w:tcPr>
          <w:p>
            <w:pPr>
              <w:pStyle w:val="2"/>
              <w:spacing w:line="240" w:lineRule="exact"/>
              <w:jc w:val="center"/>
              <w:rPr>
                <w:rFonts w:hint="eastAsia" w:hAnsi="宋体"/>
                <w:sz w:val="18"/>
                <w:szCs w:val="18"/>
              </w:rPr>
            </w:pPr>
            <w:r>
              <w:rPr>
                <w:rFonts w:hint="eastAsia" w:hAnsi="宋体"/>
                <w:sz w:val="18"/>
                <w:szCs w:val="18"/>
              </w:rPr>
              <w:t>M3</w:t>
            </w:r>
          </w:p>
        </w:tc>
        <w:tc>
          <w:tcPr>
            <w:tcW w:w="852" w:type="dxa"/>
            <w:tcBorders>
              <w:top w:val="single" w:color="auto" w:sz="4" w:space="0"/>
              <w:left w:val="nil"/>
              <w:bottom w:val="single" w:color="auto" w:sz="4" w:space="0"/>
              <w:right w:val="nil"/>
            </w:tcBorders>
            <w:shd w:val="clear" w:color="auto" w:fill="FFFFFF"/>
            <w:vAlign w:val="top"/>
          </w:tcPr>
          <w:p>
            <w:pPr>
              <w:pStyle w:val="2"/>
              <w:spacing w:line="240" w:lineRule="exact"/>
              <w:jc w:val="center"/>
              <w:rPr>
                <w:rFonts w:hint="eastAsia" w:hAnsi="宋体"/>
                <w:sz w:val="18"/>
                <w:szCs w:val="18"/>
              </w:rPr>
            </w:pPr>
            <w:r>
              <w:rPr>
                <w:rFonts w:hint="eastAsia" w:hAnsi="宋体"/>
                <w:sz w:val="18"/>
                <w:szCs w:val="18"/>
              </w:rPr>
              <w:t>M4</w:t>
            </w:r>
          </w:p>
        </w:tc>
        <w:tc>
          <w:tcPr>
            <w:tcW w:w="852" w:type="dxa"/>
            <w:tcBorders>
              <w:top w:val="single" w:color="auto" w:sz="4" w:space="0"/>
              <w:left w:val="nil"/>
              <w:bottom w:val="single" w:color="auto" w:sz="4" w:space="0"/>
              <w:right w:val="nil"/>
            </w:tcBorders>
            <w:shd w:val="clear" w:color="auto" w:fill="FFFFFF"/>
            <w:vAlign w:val="top"/>
          </w:tcPr>
          <w:p>
            <w:pPr>
              <w:pStyle w:val="2"/>
              <w:spacing w:line="240" w:lineRule="exact"/>
              <w:jc w:val="center"/>
              <w:rPr>
                <w:rFonts w:hint="eastAsia" w:hAnsi="宋体"/>
                <w:sz w:val="18"/>
                <w:szCs w:val="18"/>
              </w:rPr>
            </w:pPr>
            <w:r>
              <w:rPr>
                <w:rFonts w:hint="eastAsia" w:hAnsi="宋体"/>
                <w:sz w:val="18"/>
                <w:szCs w:val="18"/>
              </w:rPr>
              <w:t>M5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restart"/>
            <w:tcBorders>
              <w:top w:val="single" w:color="auto" w:sz="4" w:space="0"/>
              <w:left w:val="nil"/>
              <w:right w:val="single" w:color="auto" w:sz="4" w:space="0"/>
            </w:tcBorders>
            <w:shd w:val="clear" w:color="auto" w:fill="FFFFFF"/>
            <w:vAlign w:val="top"/>
          </w:tcPr>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r>
              <w:rPr>
                <w:rFonts w:hint="eastAsia" w:ascii="宋体" w:hAnsi="宋体"/>
                <w:sz w:val="18"/>
                <w:szCs w:val="18"/>
              </w:rPr>
              <w:t>前</w:t>
            </w:r>
          </w:p>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r>
              <w:rPr>
                <w:rFonts w:hint="eastAsia" w:ascii="宋体" w:hAnsi="宋体"/>
                <w:sz w:val="18"/>
                <w:szCs w:val="18"/>
              </w:rPr>
              <w:t>屈</w:t>
            </w:r>
          </w:p>
        </w:tc>
        <w:tc>
          <w:tcPr>
            <w:tcW w:w="1236" w:type="dxa"/>
            <w:tcBorders>
              <w:top w:val="single" w:color="auto" w:sz="4" w:space="0"/>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≥121</w:t>
            </w:r>
          </w:p>
        </w:tc>
        <w:tc>
          <w:tcPr>
            <w:tcW w:w="853"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75</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50</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25</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25" w:type="dxa"/>
            <w:vMerge w:val="continue"/>
            <w:tcBorders>
              <w:top w:val="single" w:color="auto" w:sz="4" w:space="0"/>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106～120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77</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55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32</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91～105</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60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40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76～90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82</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65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47</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61～75</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55</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25"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46～60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87</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62</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31～45</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16～30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92</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77</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left w:val="nil"/>
              <w:bottom w:val="single" w:color="auto" w:sz="4" w:space="0"/>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single" w:color="auto" w:sz="4" w:space="0"/>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≤15</w:t>
            </w:r>
          </w:p>
        </w:tc>
        <w:tc>
          <w:tcPr>
            <w:tcW w:w="853"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95</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25" w:type="dxa"/>
            <w:vMerge w:val="restart"/>
            <w:tcBorders>
              <w:top w:val="single" w:color="auto" w:sz="4" w:space="0"/>
              <w:left w:val="nil"/>
              <w:bottom w:val="single" w:color="auto" w:sz="4" w:space="0"/>
              <w:right w:val="single" w:color="auto" w:sz="4" w:space="0"/>
            </w:tcBorders>
            <w:shd w:val="clear" w:color="auto" w:fill="FFFFFF"/>
            <w:vAlign w:val="top"/>
          </w:tcPr>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r>
              <w:rPr>
                <w:rFonts w:hint="eastAsia" w:ascii="宋体" w:hAnsi="宋体"/>
                <w:sz w:val="18"/>
                <w:szCs w:val="18"/>
              </w:rPr>
              <w:t>后</w:t>
            </w:r>
          </w:p>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r>
              <w:rPr>
                <w:rFonts w:hint="eastAsia" w:ascii="宋体" w:hAnsi="宋体"/>
                <w:sz w:val="18"/>
                <w:szCs w:val="18"/>
              </w:rPr>
              <w:t>伸</w:t>
            </w:r>
          </w:p>
        </w:tc>
        <w:tc>
          <w:tcPr>
            <w:tcW w:w="1236" w:type="dxa"/>
            <w:tcBorders>
              <w:top w:val="single" w:color="auto" w:sz="4" w:space="0"/>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≥11</w:t>
            </w:r>
          </w:p>
        </w:tc>
        <w:tc>
          <w:tcPr>
            <w:tcW w:w="853"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75</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50</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25</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6～10</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55</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1～5</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left w:val="nil"/>
              <w:bottom w:val="single" w:color="auto" w:sz="4" w:space="0"/>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single" w:color="auto" w:sz="4" w:space="0"/>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0</w:t>
            </w:r>
          </w:p>
        </w:tc>
        <w:tc>
          <w:tcPr>
            <w:tcW w:w="853"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95</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25" w:type="dxa"/>
            <w:vMerge w:val="restart"/>
            <w:tcBorders>
              <w:top w:val="single" w:color="auto" w:sz="4" w:space="0"/>
              <w:left w:val="nil"/>
              <w:bottom w:val="single" w:color="auto" w:sz="4" w:space="0"/>
              <w:right w:val="single" w:color="auto" w:sz="4" w:space="0"/>
            </w:tcBorders>
            <w:shd w:val="clear" w:color="auto" w:fill="FFFFFF"/>
            <w:vAlign w:val="top"/>
          </w:tcPr>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r>
              <w:rPr>
                <w:rFonts w:hint="eastAsia" w:ascii="宋体" w:hAnsi="宋体"/>
                <w:sz w:val="18"/>
                <w:szCs w:val="18"/>
              </w:rPr>
              <w:t>外</w:t>
            </w:r>
          </w:p>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r>
              <w:rPr>
                <w:rFonts w:hint="eastAsia" w:ascii="宋体" w:hAnsi="宋体"/>
                <w:sz w:val="18"/>
                <w:szCs w:val="18"/>
              </w:rPr>
              <w:t>展</w:t>
            </w:r>
          </w:p>
        </w:tc>
        <w:tc>
          <w:tcPr>
            <w:tcW w:w="1236" w:type="dxa"/>
            <w:tcBorders>
              <w:top w:val="single" w:color="auto" w:sz="4" w:space="0"/>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≥41</w:t>
            </w:r>
          </w:p>
        </w:tc>
        <w:tc>
          <w:tcPr>
            <w:tcW w:w="853"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75</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50</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25</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top w:val="nil"/>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31～40</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60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40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21～30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55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11～20</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25" w:type="dxa"/>
            <w:vMerge w:val="continue"/>
            <w:tcBorders>
              <w:left w:val="nil"/>
              <w:bottom w:val="single" w:color="auto" w:sz="4" w:space="0"/>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single" w:color="auto" w:sz="4" w:space="0"/>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≤10</w:t>
            </w:r>
          </w:p>
        </w:tc>
        <w:tc>
          <w:tcPr>
            <w:tcW w:w="853"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95</w:t>
            </w:r>
          </w:p>
        </w:tc>
        <w:tc>
          <w:tcPr>
            <w:tcW w:w="852"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restart"/>
            <w:tcBorders>
              <w:top w:val="single" w:color="auto" w:sz="4" w:space="0"/>
              <w:left w:val="nil"/>
              <w:bottom w:val="single" w:color="auto" w:sz="4" w:space="0"/>
              <w:right w:val="single" w:color="auto" w:sz="4" w:space="0"/>
            </w:tcBorders>
            <w:shd w:val="clear" w:color="auto" w:fill="FFFFFF"/>
            <w:vAlign w:val="top"/>
          </w:tcPr>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r>
              <w:rPr>
                <w:rFonts w:hint="eastAsia" w:ascii="宋体" w:hAnsi="宋体"/>
                <w:sz w:val="18"/>
                <w:szCs w:val="18"/>
              </w:rPr>
              <w:t>内</w:t>
            </w:r>
          </w:p>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r>
              <w:rPr>
                <w:rFonts w:hint="eastAsia" w:ascii="宋体" w:hAnsi="宋体"/>
                <w:sz w:val="18"/>
                <w:szCs w:val="18"/>
              </w:rPr>
              <w:t>收</w:t>
            </w:r>
          </w:p>
        </w:tc>
        <w:tc>
          <w:tcPr>
            <w:tcW w:w="1236" w:type="dxa"/>
            <w:tcBorders>
              <w:top w:val="single" w:color="auto" w:sz="4" w:space="0"/>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≥16</w:t>
            </w:r>
          </w:p>
        </w:tc>
        <w:tc>
          <w:tcPr>
            <w:tcW w:w="853"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75</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50</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25</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top w:val="nil"/>
              <w:left w:val="nil"/>
              <w:bottom w:val="single" w:color="auto" w:sz="4" w:space="0"/>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11～15</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60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40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top w:val="nil"/>
              <w:left w:val="nil"/>
              <w:bottom w:val="single" w:color="auto" w:sz="4" w:space="0"/>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6～10</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55</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25" w:type="dxa"/>
            <w:vMerge w:val="continue"/>
            <w:tcBorders>
              <w:top w:val="nil"/>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1～5</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left w:val="nil"/>
              <w:bottom w:val="single" w:color="auto" w:sz="4" w:space="0"/>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single" w:color="auto" w:sz="4" w:space="0"/>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0</w:t>
            </w:r>
          </w:p>
        </w:tc>
        <w:tc>
          <w:tcPr>
            <w:tcW w:w="853"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95</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restart"/>
            <w:tcBorders>
              <w:top w:val="single" w:color="auto" w:sz="4" w:space="0"/>
              <w:left w:val="nil"/>
              <w:right w:val="single" w:color="auto" w:sz="4" w:space="0"/>
            </w:tcBorders>
            <w:shd w:val="clear" w:color="auto" w:fill="FFFFFF"/>
            <w:vAlign w:val="top"/>
          </w:tcPr>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r>
              <w:rPr>
                <w:rFonts w:hint="eastAsia" w:ascii="宋体" w:hAnsi="宋体"/>
                <w:sz w:val="18"/>
                <w:szCs w:val="18"/>
              </w:rPr>
              <w:t>外</w:t>
            </w:r>
          </w:p>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r>
              <w:rPr>
                <w:rFonts w:hint="eastAsia" w:ascii="宋体" w:hAnsi="宋体"/>
                <w:sz w:val="18"/>
                <w:szCs w:val="18"/>
              </w:rPr>
              <w:t>旋</w:t>
            </w:r>
          </w:p>
        </w:tc>
        <w:tc>
          <w:tcPr>
            <w:tcW w:w="1236" w:type="dxa"/>
            <w:tcBorders>
              <w:top w:val="single" w:color="auto" w:sz="4" w:space="0"/>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≥41</w:t>
            </w:r>
          </w:p>
        </w:tc>
        <w:tc>
          <w:tcPr>
            <w:tcW w:w="853"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75</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50</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25</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31～40</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60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40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25"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21～30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55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11～20</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left w:val="nil"/>
              <w:bottom w:val="single" w:color="auto" w:sz="4" w:space="0"/>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single" w:color="auto" w:sz="4" w:space="0"/>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≤10</w:t>
            </w:r>
          </w:p>
        </w:tc>
        <w:tc>
          <w:tcPr>
            <w:tcW w:w="853"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95</w:t>
            </w:r>
          </w:p>
        </w:tc>
        <w:tc>
          <w:tcPr>
            <w:tcW w:w="852"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restart"/>
            <w:tcBorders>
              <w:top w:val="single" w:color="auto" w:sz="4" w:space="0"/>
              <w:left w:val="nil"/>
              <w:right w:val="single" w:color="auto" w:sz="4" w:space="0"/>
            </w:tcBorders>
            <w:shd w:val="clear" w:color="auto" w:fill="FFFFFF"/>
            <w:vAlign w:val="top"/>
          </w:tcPr>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r>
              <w:rPr>
                <w:rFonts w:hint="eastAsia" w:ascii="宋体" w:hAnsi="宋体"/>
                <w:sz w:val="18"/>
                <w:szCs w:val="18"/>
              </w:rPr>
              <w:t>内</w:t>
            </w:r>
          </w:p>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r>
              <w:rPr>
                <w:rFonts w:hint="eastAsia" w:ascii="宋体" w:hAnsi="宋体"/>
                <w:sz w:val="18"/>
                <w:szCs w:val="18"/>
              </w:rPr>
              <w:t>旋</w:t>
            </w:r>
          </w:p>
        </w:tc>
        <w:tc>
          <w:tcPr>
            <w:tcW w:w="1236" w:type="dxa"/>
            <w:tcBorders>
              <w:top w:val="single" w:color="auto" w:sz="4" w:space="0"/>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≥41</w:t>
            </w:r>
          </w:p>
        </w:tc>
        <w:tc>
          <w:tcPr>
            <w:tcW w:w="853"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75</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50</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25</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25"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31～40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60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40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21～30</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55</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11～20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25"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≤10</w:t>
            </w:r>
          </w:p>
        </w:tc>
        <w:tc>
          <w:tcPr>
            <w:tcW w:w="853" w:type="dxa"/>
            <w:tcBorders>
              <w:top w:val="nil"/>
              <w:left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95</w:t>
            </w:r>
          </w:p>
        </w:tc>
        <w:tc>
          <w:tcPr>
            <w:tcW w:w="852" w:type="dxa"/>
            <w:tcBorders>
              <w:top w:val="nil"/>
              <w:left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80</w:t>
            </w:r>
          </w:p>
        </w:tc>
      </w:tr>
    </w:tbl>
    <w:p>
      <w:pPr>
        <w:ind w:firstLine="360" w:firstLineChars="200"/>
        <w:rPr>
          <w:rFonts w:hint="eastAsia" w:ascii="华文楷体" w:hAnsi="华文楷体" w:eastAsia="华文楷体"/>
          <w:kern w:val="0"/>
          <w:sz w:val="18"/>
          <w:szCs w:val="18"/>
        </w:rPr>
      </w:pPr>
      <w:r>
        <w:rPr>
          <w:rFonts w:hint="eastAsia" w:ascii="华文楷体" w:hAnsi="华文楷体" w:eastAsia="华文楷体"/>
          <w:kern w:val="0"/>
          <w:sz w:val="18"/>
          <w:szCs w:val="18"/>
        </w:rPr>
        <w:t>注：表中前屈指屈膝位前屈。</w:t>
      </w:r>
    </w:p>
    <w:p>
      <w:pPr>
        <w:pStyle w:val="15"/>
        <w:numPr>
          <w:numId w:val="0"/>
        </w:numPr>
        <w:wordWrap/>
        <w:spacing w:before="120" w:beforeLines="50" w:after="120" w:afterLines="50" w:line="360" w:lineRule="auto"/>
        <w:rPr>
          <w:rFonts w:hint="eastAsia"/>
        </w:rPr>
      </w:pPr>
      <w:r>
        <w:rPr>
          <w:rFonts w:hint="eastAsia"/>
        </w:rPr>
        <w:t>C.7.5膝关节功能丧失程度评定（见表C-8）</w:t>
      </w:r>
    </w:p>
    <w:p>
      <w:pPr>
        <w:pStyle w:val="21"/>
        <w:numPr>
          <w:numId w:val="0"/>
        </w:numPr>
        <w:spacing w:before="120" w:after="120"/>
        <w:rPr>
          <w:rFonts w:hint="eastAsia"/>
        </w:rPr>
      </w:pPr>
      <w:r>
        <w:rPr>
          <w:rFonts w:hint="eastAsia"/>
        </w:rPr>
        <w:t>表C-8  膝关节功能丧失程度（%）</w:t>
      </w:r>
    </w:p>
    <w:tbl>
      <w:tblPr>
        <w:tblStyle w:val="8"/>
        <w:tblW w:w="60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236"/>
        <w:gridCol w:w="853"/>
        <w:gridCol w:w="852"/>
        <w:gridCol w:w="852"/>
        <w:gridCol w:w="852"/>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10" w:type="dxa"/>
            <w:vMerge w:val="restart"/>
            <w:tcBorders>
              <w:left w:val="nil"/>
              <w:right w:val="single" w:color="auto" w:sz="4" w:space="0"/>
            </w:tcBorders>
            <w:shd w:val="clear" w:color="auto" w:fill="FFFFFF"/>
            <w:vAlign w:val="top"/>
          </w:tcPr>
          <w:p>
            <w:pPr>
              <w:pStyle w:val="2"/>
              <w:spacing w:line="240" w:lineRule="exact"/>
              <w:jc w:val="center"/>
              <w:rPr>
                <w:rFonts w:hint="eastAsia" w:hAnsi="宋体"/>
                <w:sz w:val="18"/>
                <w:szCs w:val="18"/>
              </w:rPr>
            </w:pPr>
          </w:p>
        </w:tc>
        <w:tc>
          <w:tcPr>
            <w:tcW w:w="1236" w:type="dxa"/>
            <w:vMerge w:val="restart"/>
            <w:tcBorders>
              <w:left w:val="single" w:color="auto" w:sz="4" w:space="0"/>
              <w:bottom w:val="nil"/>
              <w:right w:val="nil"/>
            </w:tcBorders>
            <w:shd w:val="clear" w:color="auto" w:fill="FFFFFF"/>
            <w:vAlign w:val="top"/>
          </w:tcPr>
          <w:p>
            <w:pPr>
              <w:pStyle w:val="2"/>
              <w:spacing w:line="240" w:lineRule="exact"/>
              <w:jc w:val="center"/>
              <w:rPr>
                <w:rFonts w:hint="eastAsia" w:hAnsi="宋体"/>
                <w:sz w:val="18"/>
                <w:szCs w:val="18"/>
              </w:rPr>
            </w:pPr>
            <w:r>
              <w:rPr>
                <w:rFonts w:hint="eastAsia" w:hAnsi="宋体"/>
                <w:sz w:val="18"/>
                <w:szCs w:val="18"/>
              </w:rPr>
              <w:t>关节运动</w:t>
            </w:r>
          </w:p>
          <w:p>
            <w:pPr>
              <w:pStyle w:val="2"/>
              <w:spacing w:line="240" w:lineRule="exact"/>
              <w:jc w:val="center"/>
              <w:rPr>
                <w:rFonts w:hint="eastAsia" w:hAnsi="宋体"/>
                <w:sz w:val="18"/>
                <w:szCs w:val="18"/>
              </w:rPr>
            </w:pPr>
            <w:r>
              <w:rPr>
                <w:rFonts w:hint="eastAsia" w:hAnsi="宋体"/>
                <w:sz w:val="18"/>
                <w:szCs w:val="18"/>
              </w:rPr>
              <w:t>活动度</w:t>
            </w:r>
          </w:p>
        </w:tc>
        <w:tc>
          <w:tcPr>
            <w:tcW w:w="4261" w:type="dxa"/>
            <w:gridSpan w:val="5"/>
            <w:tcBorders>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肌     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10" w:type="dxa"/>
            <w:vMerge w:val="continue"/>
            <w:tcBorders>
              <w:left w:val="nil"/>
              <w:right w:val="single" w:color="auto" w:sz="4" w:space="0"/>
            </w:tcBorders>
            <w:shd w:val="clear" w:color="auto" w:fill="FFFFFF"/>
            <w:vAlign w:val="top"/>
          </w:tcPr>
          <w:p>
            <w:pPr>
              <w:pStyle w:val="2"/>
              <w:spacing w:line="240" w:lineRule="exact"/>
              <w:jc w:val="center"/>
              <w:rPr>
                <w:rFonts w:hint="eastAsia" w:hAnsi="宋体"/>
                <w:sz w:val="18"/>
                <w:szCs w:val="18"/>
              </w:rPr>
            </w:pPr>
          </w:p>
        </w:tc>
        <w:tc>
          <w:tcPr>
            <w:tcW w:w="1236" w:type="dxa"/>
            <w:vMerge w:val="continue"/>
            <w:tcBorders>
              <w:top w:val="nil"/>
              <w:left w:val="single" w:color="auto" w:sz="4" w:space="0"/>
              <w:bottom w:val="single" w:color="auto" w:sz="4" w:space="0"/>
              <w:right w:val="nil"/>
            </w:tcBorders>
            <w:shd w:val="clear" w:color="auto" w:fill="FFFFFF"/>
            <w:vAlign w:val="top"/>
          </w:tcPr>
          <w:p>
            <w:pPr>
              <w:pStyle w:val="2"/>
              <w:spacing w:line="240" w:lineRule="exact"/>
              <w:jc w:val="center"/>
              <w:rPr>
                <w:rFonts w:hint="eastAsia" w:hAnsi="宋体"/>
                <w:sz w:val="18"/>
                <w:szCs w:val="18"/>
              </w:rPr>
            </w:pPr>
          </w:p>
        </w:tc>
        <w:tc>
          <w:tcPr>
            <w:tcW w:w="853" w:type="dxa"/>
            <w:tcBorders>
              <w:top w:val="single" w:color="auto" w:sz="4" w:space="0"/>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≤M1</w:t>
            </w:r>
          </w:p>
        </w:tc>
        <w:tc>
          <w:tcPr>
            <w:tcW w:w="852" w:type="dxa"/>
            <w:tcBorders>
              <w:top w:val="single" w:color="auto" w:sz="4" w:space="0"/>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M2</w:t>
            </w:r>
          </w:p>
        </w:tc>
        <w:tc>
          <w:tcPr>
            <w:tcW w:w="852" w:type="dxa"/>
            <w:tcBorders>
              <w:top w:val="single" w:color="auto" w:sz="4" w:space="0"/>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M3</w:t>
            </w:r>
          </w:p>
        </w:tc>
        <w:tc>
          <w:tcPr>
            <w:tcW w:w="852" w:type="dxa"/>
            <w:tcBorders>
              <w:top w:val="single" w:color="auto" w:sz="4" w:space="0"/>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M4</w:t>
            </w:r>
          </w:p>
        </w:tc>
        <w:tc>
          <w:tcPr>
            <w:tcW w:w="852" w:type="dxa"/>
            <w:tcBorders>
              <w:top w:val="single" w:color="auto" w:sz="4" w:space="0"/>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M5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10" w:type="dxa"/>
            <w:vMerge w:val="restart"/>
            <w:tcBorders>
              <w:top w:val="single" w:color="auto" w:sz="4" w:space="0"/>
              <w:left w:val="nil"/>
              <w:right w:val="single" w:color="auto" w:sz="4" w:space="0"/>
            </w:tcBorders>
            <w:shd w:val="clear" w:color="auto" w:fill="FFFFFF"/>
            <w:vAlign w:val="top"/>
          </w:tcPr>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r>
              <w:rPr>
                <w:rFonts w:hint="eastAsia" w:ascii="宋体" w:hAnsi="宋体"/>
                <w:sz w:val="18"/>
                <w:szCs w:val="18"/>
              </w:rPr>
              <w:t>屈</w:t>
            </w:r>
          </w:p>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r>
              <w:rPr>
                <w:rFonts w:hint="eastAsia" w:ascii="宋体" w:hAnsi="宋体"/>
                <w:sz w:val="18"/>
                <w:szCs w:val="18"/>
              </w:rPr>
              <w:t>曲</w:t>
            </w:r>
          </w:p>
        </w:tc>
        <w:tc>
          <w:tcPr>
            <w:tcW w:w="1236" w:type="dxa"/>
            <w:tcBorders>
              <w:top w:val="single" w:color="auto" w:sz="4" w:space="0"/>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≥130</w:t>
            </w:r>
          </w:p>
        </w:tc>
        <w:tc>
          <w:tcPr>
            <w:tcW w:w="853"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75</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50</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25</w:t>
            </w:r>
          </w:p>
        </w:tc>
        <w:tc>
          <w:tcPr>
            <w:tcW w:w="852"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10" w:type="dxa"/>
            <w:vMerge w:val="continue"/>
            <w:tcBorders>
              <w:top w:val="single" w:color="auto" w:sz="4" w:space="0"/>
              <w:left w:val="nil"/>
              <w:right w:val="single" w:color="auto" w:sz="4" w:space="0"/>
            </w:tcBorders>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vAlign w:val="top"/>
          </w:tcPr>
          <w:p>
            <w:pPr>
              <w:spacing w:line="240" w:lineRule="exact"/>
              <w:jc w:val="center"/>
              <w:rPr>
                <w:rFonts w:hint="eastAsia" w:ascii="宋体" w:hAnsi="宋体"/>
                <w:sz w:val="18"/>
                <w:szCs w:val="18"/>
              </w:rPr>
            </w:pPr>
            <w:r>
              <w:rPr>
                <w:rFonts w:hint="eastAsia" w:ascii="宋体" w:hAnsi="宋体"/>
                <w:sz w:val="18"/>
                <w:szCs w:val="18"/>
              </w:rPr>
              <w:t>116～129</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77</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55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32</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10" w:type="dxa"/>
            <w:vMerge w:val="continue"/>
            <w:tcBorders>
              <w:top w:val="single" w:color="auto" w:sz="4" w:space="0"/>
              <w:left w:val="nil"/>
              <w:right w:val="single" w:color="auto" w:sz="4" w:space="0"/>
            </w:tcBorders>
            <w:shd w:val="clear" w:color="auto" w:fill="auto"/>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101～115</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60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40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10" w:type="dxa"/>
            <w:vMerge w:val="continue"/>
            <w:tcBorders>
              <w:top w:val="single" w:color="auto" w:sz="4" w:space="0"/>
              <w:left w:val="nil"/>
              <w:right w:val="single" w:color="auto" w:sz="4" w:space="0"/>
            </w:tcBorders>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vAlign w:val="top"/>
          </w:tcPr>
          <w:p>
            <w:pPr>
              <w:spacing w:line="240" w:lineRule="exact"/>
              <w:jc w:val="center"/>
              <w:rPr>
                <w:rFonts w:hint="eastAsia" w:ascii="宋体" w:hAnsi="宋体"/>
                <w:sz w:val="18"/>
                <w:szCs w:val="18"/>
              </w:rPr>
            </w:pPr>
            <w:r>
              <w:rPr>
                <w:rFonts w:hint="eastAsia" w:ascii="宋体" w:hAnsi="宋体"/>
                <w:sz w:val="18"/>
                <w:szCs w:val="18"/>
              </w:rPr>
              <w:t>86～100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82</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65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47</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10" w:type="dxa"/>
            <w:vMerge w:val="continue"/>
            <w:tcBorders>
              <w:top w:val="single" w:color="auto" w:sz="4" w:space="0"/>
              <w:left w:val="nil"/>
              <w:right w:val="single" w:color="auto" w:sz="4" w:space="0"/>
            </w:tcBorders>
            <w:shd w:val="clear" w:color="auto" w:fill="auto"/>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71～85</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55</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10"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bCs/>
                <w:sz w:val="18"/>
                <w:szCs w:val="18"/>
              </w:rPr>
            </w:pPr>
            <w:r>
              <w:rPr>
                <w:rFonts w:hint="eastAsia" w:ascii="宋体" w:hAnsi="宋体"/>
                <w:sz w:val="18"/>
                <w:szCs w:val="18"/>
              </w:rPr>
              <w:t>61～70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87</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62</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10" w:type="dxa"/>
            <w:vMerge w:val="continue"/>
            <w:tcBorders>
              <w:left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bCs/>
                <w:sz w:val="18"/>
                <w:szCs w:val="18"/>
              </w:rPr>
            </w:pPr>
            <w:r>
              <w:rPr>
                <w:rFonts w:hint="eastAsia" w:ascii="宋体" w:hAnsi="宋体"/>
                <w:sz w:val="18"/>
                <w:szCs w:val="18"/>
              </w:rPr>
              <w:t>46～60</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10" w:type="dxa"/>
            <w:vMerge w:val="continue"/>
            <w:tcBorders>
              <w:left w:val="nil"/>
              <w:right w:val="single" w:color="auto" w:sz="4" w:space="0"/>
            </w:tcBorders>
            <w:shd w:val="clear" w:color="auto" w:fill="FFFFFF"/>
            <w:vAlign w:val="top"/>
          </w:tcPr>
          <w:p>
            <w:pPr>
              <w:spacing w:line="240" w:lineRule="exact"/>
              <w:jc w:val="center"/>
              <w:rPr>
                <w:rFonts w:hint="eastAsia" w:ascii="宋体" w:hAnsi="宋体"/>
                <w:bCs/>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bCs/>
                <w:sz w:val="18"/>
                <w:szCs w:val="18"/>
              </w:rPr>
            </w:pPr>
            <w:r>
              <w:rPr>
                <w:rFonts w:hint="eastAsia" w:ascii="宋体" w:hAnsi="宋体"/>
                <w:sz w:val="18"/>
                <w:szCs w:val="18"/>
              </w:rPr>
              <w:t>31～45</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92</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77</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10" w:type="dxa"/>
            <w:vMerge w:val="continue"/>
            <w:tcBorders>
              <w:left w:val="nil"/>
              <w:bottom w:val="single" w:color="auto" w:sz="4" w:space="0"/>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236" w:type="dxa"/>
            <w:tcBorders>
              <w:top w:val="nil"/>
              <w:left w:val="single" w:color="auto" w:sz="4" w:space="0"/>
              <w:bottom w:val="single" w:color="auto" w:sz="4" w:space="0"/>
              <w:right w:val="nil"/>
            </w:tcBorders>
            <w:shd w:val="clear" w:color="auto" w:fill="E0E0E0"/>
            <w:vAlign w:val="top"/>
          </w:tcPr>
          <w:p>
            <w:pPr>
              <w:spacing w:line="240" w:lineRule="exact"/>
              <w:jc w:val="center"/>
              <w:rPr>
                <w:rFonts w:hint="eastAsia" w:ascii="宋体" w:hAnsi="宋体"/>
                <w:bCs/>
                <w:sz w:val="18"/>
                <w:szCs w:val="18"/>
              </w:rPr>
            </w:pPr>
            <w:r>
              <w:rPr>
                <w:rFonts w:hint="eastAsia" w:ascii="宋体" w:hAnsi="宋体"/>
                <w:sz w:val="18"/>
                <w:szCs w:val="18"/>
              </w:rPr>
              <w:t>≤30</w:t>
            </w:r>
          </w:p>
        </w:tc>
        <w:tc>
          <w:tcPr>
            <w:tcW w:w="853"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95</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10" w:type="dxa"/>
            <w:vMerge w:val="restart"/>
            <w:tcBorders>
              <w:left w:val="nil"/>
              <w:right w:val="single" w:color="auto" w:sz="4" w:space="0"/>
            </w:tcBorders>
            <w:shd w:val="clear" w:color="auto" w:fill="FFFFFF"/>
            <w:vAlign w:val="top"/>
          </w:tcPr>
          <w:p>
            <w:pPr>
              <w:pStyle w:val="2"/>
              <w:spacing w:line="240" w:lineRule="exact"/>
              <w:jc w:val="center"/>
              <w:rPr>
                <w:rFonts w:hint="eastAsia" w:hAnsi="宋体"/>
                <w:sz w:val="18"/>
                <w:szCs w:val="18"/>
              </w:rPr>
            </w:pPr>
          </w:p>
          <w:p>
            <w:pPr>
              <w:pStyle w:val="2"/>
              <w:spacing w:line="240" w:lineRule="exact"/>
              <w:jc w:val="center"/>
              <w:rPr>
                <w:rFonts w:hint="eastAsia" w:hAnsi="宋体"/>
                <w:sz w:val="18"/>
                <w:szCs w:val="18"/>
              </w:rPr>
            </w:pPr>
          </w:p>
          <w:p>
            <w:pPr>
              <w:pStyle w:val="2"/>
              <w:spacing w:line="240" w:lineRule="exact"/>
              <w:jc w:val="center"/>
              <w:rPr>
                <w:rFonts w:hint="eastAsia" w:hAnsi="宋体"/>
                <w:sz w:val="18"/>
                <w:szCs w:val="18"/>
              </w:rPr>
            </w:pPr>
            <w:r>
              <w:rPr>
                <w:rFonts w:hint="eastAsia" w:hAnsi="宋体"/>
                <w:sz w:val="18"/>
                <w:szCs w:val="18"/>
              </w:rPr>
              <w:t>伸</w:t>
            </w:r>
          </w:p>
          <w:p>
            <w:pPr>
              <w:pStyle w:val="2"/>
              <w:spacing w:line="240" w:lineRule="exact"/>
              <w:jc w:val="center"/>
              <w:rPr>
                <w:rFonts w:hint="eastAsia" w:hAnsi="宋体"/>
                <w:sz w:val="18"/>
                <w:szCs w:val="18"/>
              </w:rPr>
            </w:pPr>
          </w:p>
          <w:p>
            <w:pPr>
              <w:pStyle w:val="2"/>
              <w:spacing w:line="240" w:lineRule="exact"/>
              <w:jc w:val="center"/>
              <w:rPr>
                <w:rFonts w:hint="eastAsia" w:hAnsi="宋体"/>
                <w:sz w:val="18"/>
                <w:szCs w:val="18"/>
              </w:rPr>
            </w:pPr>
          </w:p>
          <w:p>
            <w:pPr>
              <w:pStyle w:val="2"/>
              <w:spacing w:line="240" w:lineRule="exact"/>
              <w:jc w:val="center"/>
              <w:rPr>
                <w:rFonts w:hint="eastAsia" w:hAnsi="宋体"/>
                <w:sz w:val="18"/>
                <w:szCs w:val="18"/>
              </w:rPr>
            </w:pPr>
            <w:r>
              <w:rPr>
                <w:rFonts w:hint="eastAsia" w:hAnsi="宋体"/>
                <w:sz w:val="18"/>
                <w:szCs w:val="18"/>
              </w:rPr>
              <w:t>展</w:t>
            </w:r>
          </w:p>
        </w:tc>
        <w:tc>
          <w:tcPr>
            <w:tcW w:w="1236" w:type="dxa"/>
            <w:tcBorders>
              <w:top w:val="single" w:color="auto" w:sz="4" w:space="0"/>
              <w:left w:val="single" w:color="auto" w:sz="4" w:space="0"/>
              <w:bottom w:val="nil"/>
              <w:right w:val="nil"/>
            </w:tcBorders>
            <w:vAlign w:val="top"/>
          </w:tcPr>
          <w:p>
            <w:pPr>
              <w:spacing w:line="240" w:lineRule="exact"/>
              <w:jc w:val="center"/>
              <w:rPr>
                <w:rFonts w:hint="eastAsia" w:ascii="宋体" w:hAnsi="宋体"/>
                <w:sz w:val="18"/>
                <w:szCs w:val="18"/>
              </w:rPr>
            </w:pPr>
            <w:r>
              <w:rPr>
                <w:rFonts w:hint="eastAsia" w:ascii="宋体" w:hAnsi="宋体"/>
                <w:sz w:val="18"/>
                <w:szCs w:val="18"/>
              </w:rPr>
              <w:t>≥-5</w:t>
            </w:r>
          </w:p>
        </w:tc>
        <w:tc>
          <w:tcPr>
            <w:tcW w:w="853"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75</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50</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25</w:t>
            </w:r>
          </w:p>
        </w:tc>
        <w:tc>
          <w:tcPr>
            <w:tcW w:w="852"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10" w:type="dxa"/>
            <w:vMerge w:val="continue"/>
            <w:tcBorders>
              <w:left w:val="nil"/>
              <w:right w:val="single" w:color="auto" w:sz="4" w:space="0"/>
            </w:tcBorders>
            <w:shd w:val="clear" w:color="auto" w:fill="auto"/>
            <w:vAlign w:val="top"/>
          </w:tcPr>
          <w:p>
            <w:pPr>
              <w:pStyle w:val="2"/>
              <w:spacing w:line="240" w:lineRule="exact"/>
              <w:jc w:val="center"/>
              <w:rPr>
                <w:rFonts w:hint="eastAsia"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-6～-10</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77</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55</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32</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10" w:type="dxa"/>
            <w:vMerge w:val="continue"/>
            <w:tcBorders>
              <w:left w:val="nil"/>
              <w:right w:val="single" w:color="auto" w:sz="4" w:space="0"/>
            </w:tcBorders>
            <w:vAlign w:val="top"/>
          </w:tcPr>
          <w:p>
            <w:pPr>
              <w:pStyle w:val="2"/>
              <w:spacing w:line="240" w:lineRule="exact"/>
              <w:jc w:val="center"/>
              <w:rPr>
                <w:rFonts w:hint="eastAsia" w:hAnsi="宋体"/>
                <w:sz w:val="18"/>
                <w:szCs w:val="18"/>
              </w:rPr>
            </w:pPr>
          </w:p>
        </w:tc>
        <w:tc>
          <w:tcPr>
            <w:tcW w:w="1236" w:type="dxa"/>
            <w:tcBorders>
              <w:top w:val="nil"/>
              <w:left w:val="single" w:color="auto" w:sz="4" w:space="0"/>
              <w:bottom w:val="nil"/>
              <w:right w:val="nil"/>
            </w:tcBorders>
            <w:vAlign w:val="top"/>
          </w:tcPr>
          <w:p>
            <w:pPr>
              <w:spacing w:line="240" w:lineRule="exact"/>
              <w:jc w:val="center"/>
              <w:rPr>
                <w:rFonts w:hint="eastAsia" w:ascii="宋体" w:hAnsi="宋体"/>
                <w:sz w:val="18"/>
                <w:szCs w:val="18"/>
              </w:rPr>
            </w:pPr>
            <w:r>
              <w:rPr>
                <w:rFonts w:hint="eastAsia" w:ascii="宋体" w:hAnsi="宋体"/>
                <w:sz w:val="18"/>
                <w:szCs w:val="18"/>
              </w:rPr>
              <w:t>-11～-20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60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40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10" w:type="dxa"/>
            <w:vMerge w:val="continue"/>
            <w:tcBorders>
              <w:left w:val="nil"/>
              <w:right w:val="single" w:color="auto" w:sz="4" w:space="0"/>
            </w:tcBorders>
            <w:shd w:val="clear" w:color="auto" w:fill="FFFFFF"/>
            <w:vAlign w:val="top"/>
          </w:tcPr>
          <w:p>
            <w:pPr>
              <w:pStyle w:val="2"/>
              <w:spacing w:line="240" w:lineRule="exact"/>
              <w:jc w:val="center"/>
              <w:rPr>
                <w:rFonts w:hint="eastAsia"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-21～-25</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82</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65</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47</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10" w:type="dxa"/>
            <w:vMerge w:val="continue"/>
            <w:tcBorders>
              <w:left w:val="nil"/>
              <w:right w:val="single" w:color="auto" w:sz="4" w:space="0"/>
            </w:tcBorders>
            <w:shd w:val="clear" w:color="auto" w:fill="FFFFFF"/>
            <w:vAlign w:val="top"/>
          </w:tcPr>
          <w:p>
            <w:pPr>
              <w:pStyle w:val="2"/>
              <w:spacing w:line="240" w:lineRule="exact"/>
              <w:jc w:val="center"/>
              <w:rPr>
                <w:rFonts w:hint="eastAsia" w:hAnsi="宋体"/>
                <w:sz w:val="18"/>
                <w:szCs w:val="18"/>
              </w:rPr>
            </w:pPr>
          </w:p>
        </w:tc>
        <w:tc>
          <w:tcPr>
            <w:tcW w:w="12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-26～-30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55</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10" w:type="dxa"/>
            <w:vMerge w:val="continue"/>
            <w:tcBorders>
              <w:left w:val="nil"/>
              <w:right w:val="single" w:color="auto" w:sz="4" w:space="0"/>
            </w:tcBorders>
            <w:shd w:val="clear" w:color="auto" w:fill="FFFFFF"/>
            <w:vAlign w:val="top"/>
          </w:tcPr>
          <w:p>
            <w:pPr>
              <w:pStyle w:val="2"/>
              <w:spacing w:line="240" w:lineRule="exact"/>
              <w:jc w:val="center"/>
              <w:rPr>
                <w:rFonts w:hint="eastAsia"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bCs/>
                <w:sz w:val="18"/>
                <w:szCs w:val="18"/>
              </w:rPr>
            </w:pPr>
            <w:r>
              <w:rPr>
                <w:rFonts w:hint="eastAsia" w:ascii="宋体" w:hAnsi="宋体"/>
                <w:sz w:val="18"/>
                <w:szCs w:val="18"/>
              </w:rPr>
              <w:t>-31～-35</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87</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75</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62</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10" w:type="dxa"/>
            <w:vMerge w:val="continue"/>
            <w:tcBorders>
              <w:left w:val="nil"/>
              <w:right w:val="single" w:color="auto" w:sz="4" w:space="0"/>
            </w:tcBorders>
            <w:vAlign w:val="top"/>
          </w:tcPr>
          <w:p>
            <w:pPr>
              <w:pStyle w:val="2"/>
              <w:spacing w:line="240" w:lineRule="exact"/>
              <w:jc w:val="center"/>
              <w:rPr>
                <w:rFonts w:hint="eastAsia" w:hAnsi="宋体"/>
                <w:sz w:val="18"/>
                <w:szCs w:val="18"/>
              </w:rPr>
            </w:pPr>
          </w:p>
        </w:tc>
        <w:tc>
          <w:tcPr>
            <w:tcW w:w="1236" w:type="dxa"/>
            <w:tcBorders>
              <w:top w:val="nil"/>
              <w:left w:val="single" w:color="auto" w:sz="4" w:space="0"/>
              <w:bottom w:val="nil"/>
              <w:right w:val="nil"/>
            </w:tcBorders>
            <w:vAlign w:val="top"/>
          </w:tcPr>
          <w:p>
            <w:pPr>
              <w:spacing w:line="240" w:lineRule="exact"/>
              <w:jc w:val="center"/>
              <w:rPr>
                <w:rFonts w:hint="eastAsia" w:ascii="宋体" w:hAnsi="宋体"/>
                <w:bCs/>
                <w:sz w:val="18"/>
                <w:szCs w:val="18"/>
              </w:rPr>
            </w:pPr>
            <w:r>
              <w:rPr>
                <w:rFonts w:hint="eastAsia" w:ascii="宋体" w:hAnsi="宋体"/>
                <w:sz w:val="18"/>
                <w:szCs w:val="18"/>
              </w:rPr>
              <w:t>-36～-40</w:t>
            </w:r>
          </w:p>
        </w:tc>
        <w:tc>
          <w:tcPr>
            <w:tcW w:w="853"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70</w:t>
            </w:r>
          </w:p>
        </w:tc>
        <w:tc>
          <w:tcPr>
            <w:tcW w:w="852"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10" w:type="dxa"/>
            <w:vMerge w:val="continue"/>
            <w:tcBorders>
              <w:left w:val="nil"/>
              <w:right w:val="single" w:color="auto" w:sz="4" w:space="0"/>
            </w:tcBorders>
            <w:shd w:val="clear" w:color="auto" w:fill="auto"/>
            <w:vAlign w:val="top"/>
          </w:tcPr>
          <w:p>
            <w:pPr>
              <w:pStyle w:val="2"/>
              <w:spacing w:line="240" w:lineRule="exact"/>
              <w:jc w:val="center"/>
              <w:rPr>
                <w:rFonts w:hint="eastAsia" w:hAnsi="宋体"/>
                <w:sz w:val="18"/>
                <w:szCs w:val="18"/>
              </w:rPr>
            </w:pPr>
          </w:p>
        </w:tc>
        <w:tc>
          <w:tcPr>
            <w:tcW w:w="12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bCs/>
                <w:sz w:val="18"/>
                <w:szCs w:val="18"/>
              </w:rPr>
            </w:pPr>
            <w:r>
              <w:rPr>
                <w:rFonts w:hint="eastAsia" w:ascii="宋体" w:hAnsi="宋体"/>
                <w:sz w:val="18"/>
                <w:szCs w:val="18"/>
              </w:rPr>
              <w:t>-41～-45</w:t>
            </w:r>
          </w:p>
        </w:tc>
        <w:tc>
          <w:tcPr>
            <w:tcW w:w="853"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92</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77</w:t>
            </w:r>
          </w:p>
        </w:tc>
        <w:tc>
          <w:tcPr>
            <w:tcW w:w="852"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510" w:type="dxa"/>
            <w:vMerge w:val="continue"/>
            <w:tcBorders>
              <w:left w:val="nil"/>
              <w:right w:val="single" w:color="auto" w:sz="4" w:space="0"/>
            </w:tcBorders>
            <w:shd w:val="clear" w:color="auto" w:fill="FFFFFF"/>
            <w:vAlign w:val="top"/>
          </w:tcPr>
          <w:p>
            <w:pPr>
              <w:pStyle w:val="2"/>
              <w:spacing w:line="240" w:lineRule="exact"/>
              <w:jc w:val="center"/>
              <w:rPr>
                <w:rFonts w:hint="eastAsia" w:hAnsi="宋体"/>
                <w:sz w:val="18"/>
                <w:szCs w:val="18"/>
              </w:rPr>
            </w:pPr>
          </w:p>
        </w:tc>
        <w:tc>
          <w:tcPr>
            <w:tcW w:w="1236" w:type="dxa"/>
            <w:tcBorders>
              <w:top w:val="nil"/>
              <w:left w:val="single" w:color="auto" w:sz="4" w:space="0"/>
              <w:bottom w:val="single" w:color="auto" w:sz="4" w:space="0"/>
              <w:right w:val="nil"/>
            </w:tcBorders>
            <w:shd w:val="clear" w:color="auto" w:fill="FFFFFF"/>
            <w:vAlign w:val="top"/>
          </w:tcPr>
          <w:p>
            <w:pPr>
              <w:spacing w:line="240" w:lineRule="exact"/>
              <w:jc w:val="center"/>
              <w:rPr>
                <w:rFonts w:hint="eastAsia" w:ascii="宋体" w:hAnsi="宋体"/>
                <w:bCs/>
                <w:sz w:val="18"/>
                <w:szCs w:val="18"/>
              </w:rPr>
            </w:pPr>
            <w:r>
              <w:rPr>
                <w:rFonts w:hint="eastAsia" w:ascii="宋体" w:hAnsi="宋体"/>
                <w:sz w:val="18"/>
                <w:szCs w:val="18"/>
              </w:rPr>
              <w:t>≤-46</w:t>
            </w:r>
          </w:p>
        </w:tc>
        <w:tc>
          <w:tcPr>
            <w:tcW w:w="853"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852"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95</w:t>
            </w:r>
          </w:p>
        </w:tc>
        <w:tc>
          <w:tcPr>
            <w:tcW w:w="852"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90</w:t>
            </w:r>
          </w:p>
        </w:tc>
        <w:tc>
          <w:tcPr>
            <w:tcW w:w="852"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85</w:t>
            </w:r>
          </w:p>
        </w:tc>
        <w:tc>
          <w:tcPr>
            <w:tcW w:w="852"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80</w:t>
            </w:r>
          </w:p>
        </w:tc>
      </w:tr>
    </w:tbl>
    <w:p>
      <w:pPr>
        <w:pStyle w:val="10"/>
        <w:spacing w:line="240" w:lineRule="exact"/>
        <w:ind w:firstLine="360"/>
        <w:rPr>
          <w:rFonts w:hint="eastAsia"/>
        </w:rPr>
      </w:pPr>
      <w:r>
        <w:rPr>
          <w:rFonts w:hint="eastAsia" w:ascii="华文楷体" w:hAnsi="华文楷体" w:eastAsia="华文楷体"/>
          <w:sz w:val="18"/>
          <w:szCs w:val="18"/>
        </w:rPr>
        <w:t>注：表中负值表示膝关节伸展时到达功能位（直立位）所差的度数。考虑到膝关节同一轴位屈伸活动相互重叠，膝关节功能丧失程度的计算方法与其他关节略有不同，即根据关节屈曲与伸展运动活动度查表得出相应功能丧失程度，再求和即为膝关节功能丧失程度。当二者之和大于100%时，以100%计算。</w:t>
      </w:r>
    </w:p>
    <w:p>
      <w:pPr>
        <w:pStyle w:val="15"/>
        <w:numPr>
          <w:numId w:val="0"/>
        </w:numPr>
        <w:wordWrap/>
        <w:spacing w:before="120" w:beforeLines="50" w:after="120" w:afterLines="50" w:line="340" w:lineRule="exact"/>
        <w:rPr>
          <w:rFonts w:hint="eastAsia"/>
        </w:rPr>
      </w:pPr>
      <w:r>
        <w:rPr>
          <w:rFonts w:hint="eastAsia"/>
        </w:rPr>
        <w:t>C.7.6踝关节功能丧失程度评定（见表C-9）</w:t>
      </w:r>
    </w:p>
    <w:p>
      <w:pPr>
        <w:pStyle w:val="21"/>
        <w:numPr>
          <w:numId w:val="0"/>
        </w:numPr>
        <w:spacing w:before="120" w:after="120"/>
        <w:rPr>
          <w:rFonts w:hint="eastAsia"/>
        </w:rPr>
      </w:pPr>
      <w:r>
        <w:rPr>
          <w:rFonts w:hint="eastAsia"/>
        </w:rPr>
        <w:t>表C-9  踝关节功能丧失程度（%）</w:t>
      </w:r>
    </w:p>
    <w:tbl>
      <w:tblPr>
        <w:tblStyle w:val="8"/>
        <w:tblW w:w="60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136"/>
        <w:gridCol w:w="797"/>
        <w:gridCol w:w="900"/>
        <w:gridCol w:w="90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67" w:type="dxa"/>
            <w:vMerge w:val="restart"/>
            <w:tcBorders>
              <w:left w:val="nil"/>
              <w:bottom w:val="nil"/>
              <w:right w:val="single" w:color="auto" w:sz="4" w:space="0"/>
            </w:tcBorders>
            <w:shd w:val="clear" w:color="auto" w:fill="FFFFFF"/>
            <w:vAlign w:val="top"/>
          </w:tcPr>
          <w:p>
            <w:pPr>
              <w:spacing w:line="240" w:lineRule="exact"/>
              <w:ind w:right="-107" w:rightChars="-51"/>
              <w:jc w:val="center"/>
              <w:rPr>
                <w:rFonts w:hint="eastAsia" w:ascii="宋体" w:hAnsi="宋体"/>
                <w:bCs/>
                <w:sz w:val="18"/>
                <w:szCs w:val="18"/>
              </w:rPr>
            </w:pPr>
          </w:p>
        </w:tc>
        <w:tc>
          <w:tcPr>
            <w:tcW w:w="1136" w:type="dxa"/>
            <w:vMerge w:val="restart"/>
            <w:tcBorders>
              <w:left w:val="single" w:color="auto" w:sz="4" w:space="0"/>
              <w:bottom w:val="nil"/>
              <w:right w:val="nil"/>
            </w:tcBorders>
            <w:shd w:val="clear" w:color="auto" w:fill="FFFFFF"/>
            <w:vAlign w:val="top"/>
          </w:tcPr>
          <w:p>
            <w:pPr>
              <w:spacing w:line="240" w:lineRule="exact"/>
              <w:jc w:val="center"/>
              <w:rPr>
                <w:rFonts w:hint="eastAsia" w:ascii="宋体" w:hAnsi="宋体"/>
                <w:bCs/>
                <w:sz w:val="18"/>
                <w:szCs w:val="18"/>
              </w:rPr>
            </w:pPr>
            <w:r>
              <w:rPr>
                <w:rFonts w:hint="eastAsia" w:ascii="宋体" w:hAnsi="宋体"/>
                <w:bCs/>
                <w:sz w:val="18"/>
                <w:szCs w:val="18"/>
              </w:rPr>
              <w:t>关节运动活动度</w:t>
            </w:r>
          </w:p>
        </w:tc>
        <w:tc>
          <w:tcPr>
            <w:tcW w:w="4397" w:type="dxa"/>
            <w:gridSpan w:val="5"/>
            <w:tcBorders>
              <w:left w:val="nil"/>
              <w:bottom w:val="single" w:color="auto" w:sz="4" w:space="0"/>
              <w:right w:val="nil"/>
            </w:tcBorders>
            <w:vAlign w:val="top"/>
          </w:tcPr>
          <w:p>
            <w:pPr>
              <w:spacing w:line="240" w:lineRule="exact"/>
              <w:jc w:val="center"/>
              <w:rPr>
                <w:rFonts w:hint="eastAsia" w:ascii="宋体" w:hAnsi="宋体"/>
                <w:bCs/>
                <w:sz w:val="18"/>
                <w:szCs w:val="18"/>
              </w:rPr>
            </w:pPr>
            <w:r>
              <w:rPr>
                <w:rFonts w:hint="eastAsia" w:ascii="宋体" w:hAnsi="宋体"/>
                <w:bCs/>
                <w:sz w:val="18"/>
                <w:szCs w:val="18"/>
              </w:rPr>
              <w:t>肌   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67" w:type="dxa"/>
            <w:vMerge w:val="continue"/>
            <w:tcBorders>
              <w:left w:val="nil"/>
              <w:bottom w:val="nil"/>
              <w:right w:val="single" w:color="auto" w:sz="4" w:space="0"/>
            </w:tcBorders>
            <w:shd w:val="clear" w:color="auto" w:fill="FFFFFF"/>
            <w:vAlign w:val="top"/>
          </w:tcPr>
          <w:p>
            <w:pPr>
              <w:spacing w:line="240" w:lineRule="exact"/>
              <w:jc w:val="center"/>
              <w:rPr>
                <w:rFonts w:hint="eastAsia" w:ascii="宋体" w:hAnsi="宋体"/>
                <w:bCs/>
                <w:sz w:val="18"/>
                <w:szCs w:val="18"/>
              </w:rPr>
            </w:pPr>
          </w:p>
        </w:tc>
        <w:tc>
          <w:tcPr>
            <w:tcW w:w="1136" w:type="dxa"/>
            <w:vMerge w:val="continue"/>
            <w:tcBorders>
              <w:top w:val="nil"/>
              <w:left w:val="single" w:color="auto" w:sz="4" w:space="0"/>
              <w:bottom w:val="single" w:color="auto" w:sz="4" w:space="0"/>
              <w:right w:val="nil"/>
            </w:tcBorders>
            <w:shd w:val="clear" w:color="auto" w:fill="FFFFFF"/>
            <w:vAlign w:val="top"/>
          </w:tcPr>
          <w:p>
            <w:pPr>
              <w:spacing w:line="240" w:lineRule="exact"/>
              <w:jc w:val="center"/>
              <w:rPr>
                <w:rFonts w:hint="eastAsia" w:ascii="宋体" w:hAnsi="宋体"/>
                <w:bCs/>
                <w:sz w:val="18"/>
                <w:szCs w:val="18"/>
              </w:rPr>
            </w:pPr>
          </w:p>
        </w:tc>
        <w:tc>
          <w:tcPr>
            <w:tcW w:w="797" w:type="dxa"/>
            <w:tcBorders>
              <w:top w:val="single" w:color="auto" w:sz="4" w:space="0"/>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≤M1</w:t>
            </w:r>
          </w:p>
        </w:tc>
        <w:tc>
          <w:tcPr>
            <w:tcW w:w="900" w:type="dxa"/>
            <w:tcBorders>
              <w:top w:val="single" w:color="auto" w:sz="4" w:space="0"/>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M2</w:t>
            </w:r>
          </w:p>
        </w:tc>
        <w:tc>
          <w:tcPr>
            <w:tcW w:w="900" w:type="dxa"/>
            <w:tcBorders>
              <w:top w:val="single" w:color="auto" w:sz="4" w:space="0"/>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M3</w:t>
            </w:r>
          </w:p>
        </w:tc>
        <w:tc>
          <w:tcPr>
            <w:tcW w:w="900" w:type="dxa"/>
            <w:tcBorders>
              <w:top w:val="single" w:color="auto" w:sz="4" w:space="0"/>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M4</w:t>
            </w:r>
          </w:p>
        </w:tc>
        <w:tc>
          <w:tcPr>
            <w:tcW w:w="900" w:type="dxa"/>
            <w:tcBorders>
              <w:top w:val="single" w:color="auto" w:sz="4" w:space="0"/>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M5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67" w:type="dxa"/>
            <w:vMerge w:val="restart"/>
            <w:tcBorders>
              <w:top w:val="nil"/>
              <w:left w:val="nil"/>
              <w:bottom w:val="nil"/>
              <w:right w:val="single" w:color="auto" w:sz="4" w:space="0"/>
            </w:tcBorders>
            <w:shd w:val="clear" w:color="auto" w:fill="FFFFFF"/>
            <w:vAlign w:val="top"/>
          </w:tcPr>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r>
              <w:rPr>
                <w:rFonts w:hint="eastAsia" w:ascii="宋体" w:hAnsi="宋体"/>
                <w:sz w:val="18"/>
                <w:szCs w:val="18"/>
              </w:rPr>
              <w:t>背</w:t>
            </w:r>
          </w:p>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r>
              <w:rPr>
                <w:rFonts w:hint="eastAsia" w:ascii="宋体" w:hAnsi="宋体"/>
                <w:sz w:val="18"/>
                <w:szCs w:val="18"/>
              </w:rPr>
              <w:t>屈</w:t>
            </w:r>
          </w:p>
        </w:tc>
        <w:tc>
          <w:tcPr>
            <w:tcW w:w="1136" w:type="dxa"/>
            <w:tcBorders>
              <w:top w:val="single" w:color="auto" w:sz="4" w:space="0"/>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≥16</w:t>
            </w:r>
          </w:p>
        </w:tc>
        <w:tc>
          <w:tcPr>
            <w:tcW w:w="797"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900"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75</w:t>
            </w:r>
          </w:p>
        </w:tc>
        <w:tc>
          <w:tcPr>
            <w:tcW w:w="900"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50</w:t>
            </w:r>
          </w:p>
        </w:tc>
        <w:tc>
          <w:tcPr>
            <w:tcW w:w="900"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25</w:t>
            </w:r>
          </w:p>
        </w:tc>
        <w:tc>
          <w:tcPr>
            <w:tcW w:w="900"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467" w:type="dxa"/>
            <w:vMerge w:val="continue"/>
            <w:tcBorders>
              <w:left w:val="nil"/>
              <w:bottom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1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11～15</w:t>
            </w:r>
          </w:p>
        </w:tc>
        <w:tc>
          <w:tcPr>
            <w:tcW w:w="797"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900"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80</w:t>
            </w:r>
          </w:p>
        </w:tc>
        <w:tc>
          <w:tcPr>
            <w:tcW w:w="900"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60</w:t>
            </w:r>
          </w:p>
        </w:tc>
        <w:tc>
          <w:tcPr>
            <w:tcW w:w="900"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40</w:t>
            </w:r>
          </w:p>
        </w:tc>
        <w:tc>
          <w:tcPr>
            <w:tcW w:w="900"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67" w:type="dxa"/>
            <w:vMerge w:val="continue"/>
            <w:tcBorders>
              <w:left w:val="nil"/>
              <w:bottom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1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6～10</w:t>
            </w:r>
          </w:p>
        </w:tc>
        <w:tc>
          <w:tcPr>
            <w:tcW w:w="797"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900"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85</w:t>
            </w:r>
          </w:p>
        </w:tc>
        <w:tc>
          <w:tcPr>
            <w:tcW w:w="900"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70</w:t>
            </w:r>
          </w:p>
        </w:tc>
        <w:tc>
          <w:tcPr>
            <w:tcW w:w="900"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55</w:t>
            </w:r>
          </w:p>
        </w:tc>
        <w:tc>
          <w:tcPr>
            <w:tcW w:w="900"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67" w:type="dxa"/>
            <w:vMerge w:val="continue"/>
            <w:tcBorders>
              <w:left w:val="nil"/>
              <w:bottom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1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1～5</w:t>
            </w:r>
          </w:p>
        </w:tc>
        <w:tc>
          <w:tcPr>
            <w:tcW w:w="797"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900"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90</w:t>
            </w:r>
          </w:p>
        </w:tc>
        <w:tc>
          <w:tcPr>
            <w:tcW w:w="900"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80</w:t>
            </w:r>
          </w:p>
        </w:tc>
        <w:tc>
          <w:tcPr>
            <w:tcW w:w="900"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70</w:t>
            </w:r>
          </w:p>
        </w:tc>
        <w:tc>
          <w:tcPr>
            <w:tcW w:w="900"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67" w:type="dxa"/>
            <w:vMerge w:val="continue"/>
            <w:tcBorders>
              <w:left w:val="nil"/>
              <w:bottom w:val="single" w:color="auto" w:sz="4" w:space="0"/>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136" w:type="dxa"/>
            <w:tcBorders>
              <w:top w:val="nil"/>
              <w:left w:val="single" w:color="auto" w:sz="4" w:space="0"/>
              <w:bottom w:val="single" w:color="auto" w:sz="4" w:space="0"/>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0</w:t>
            </w:r>
          </w:p>
        </w:tc>
        <w:tc>
          <w:tcPr>
            <w:tcW w:w="797"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900"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95</w:t>
            </w:r>
          </w:p>
        </w:tc>
        <w:tc>
          <w:tcPr>
            <w:tcW w:w="900"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90</w:t>
            </w:r>
          </w:p>
        </w:tc>
        <w:tc>
          <w:tcPr>
            <w:tcW w:w="900"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85</w:t>
            </w:r>
          </w:p>
        </w:tc>
        <w:tc>
          <w:tcPr>
            <w:tcW w:w="900" w:type="dxa"/>
            <w:tcBorders>
              <w:top w:val="nil"/>
              <w:left w:val="nil"/>
              <w:bottom w:val="single" w:color="auto" w:sz="4" w:space="0"/>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467" w:type="dxa"/>
            <w:vMerge w:val="restart"/>
            <w:tcBorders>
              <w:top w:val="single" w:color="auto" w:sz="4" w:space="0"/>
              <w:left w:val="nil"/>
              <w:bottom w:val="nil"/>
              <w:right w:val="single" w:color="auto" w:sz="4" w:space="0"/>
            </w:tcBorders>
            <w:shd w:val="clear" w:color="auto" w:fill="FFFFFF"/>
            <w:vAlign w:val="top"/>
          </w:tcPr>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r>
              <w:rPr>
                <w:rFonts w:hint="eastAsia" w:ascii="宋体" w:hAnsi="宋体"/>
                <w:sz w:val="18"/>
                <w:szCs w:val="18"/>
              </w:rPr>
              <w:t>跖</w:t>
            </w:r>
          </w:p>
          <w:p>
            <w:pPr>
              <w:spacing w:line="240" w:lineRule="exact"/>
              <w:jc w:val="center"/>
              <w:rPr>
                <w:rFonts w:hint="eastAsia" w:ascii="宋体" w:hAnsi="宋体"/>
                <w:sz w:val="18"/>
                <w:szCs w:val="18"/>
              </w:rPr>
            </w:pPr>
          </w:p>
          <w:p>
            <w:pPr>
              <w:spacing w:line="240" w:lineRule="exact"/>
              <w:jc w:val="center"/>
              <w:rPr>
                <w:rFonts w:hint="eastAsia" w:ascii="宋体" w:hAnsi="宋体"/>
                <w:sz w:val="18"/>
                <w:szCs w:val="18"/>
              </w:rPr>
            </w:pPr>
            <w:r>
              <w:rPr>
                <w:rFonts w:hint="eastAsia" w:ascii="宋体" w:hAnsi="宋体"/>
                <w:sz w:val="18"/>
                <w:szCs w:val="18"/>
              </w:rPr>
              <w:t>屈</w:t>
            </w:r>
          </w:p>
        </w:tc>
        <w:tc>
          <w:tcPr>
            <w:tcW w:w="1136" w:type="dxa"/>
            <w:tcBorders>
              <w:top w:val="single" w:color="auto" w:sz="4" w:space="0"/>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≥41</w:t>
            </w:r>
          </w:p>
        </w:tc>
        <w:tc>
          <w:tcPr>
            <w:tcW w:w="797"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900"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75</w:t>
            </w:r>
          </w:p>
        </w:tc>
        <w:tc>
          <w:tcPr>
            <w:tcW w:w="900"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50</w:t>
            </w:r>
          </w:p>
        </w:tc>
        <w:tc>
          <w:tcPr>
            <w:tcW w:w="900"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25</w:t>
            </w:r>
          </w:p>
        </w:tc>
        <w:tc>
          <w:tcPr>
            <w:tcW w:w="900" w:type="dxa"/>
            <w:tcBorders>
              <w:top w:val="single" w:color="auto" w:sz="4" w:space="0"/>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67" w:type="dxa"/>
            <w:vMerge w:val="continue"/>
            <w:tcBorders>
              <w:top w:val="nil"/>
              <w:left w:val="nil"/>
              <w:bottom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1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31～40</w:t>
            </w:r>
          </w:p>
        </w:tc>
        <w:tc>
          <w:tcPr>
            <w:tcW w:w="797"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900"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80</w:t>
            </w:r>
          </w:p>
        </w:tc>
        <w:tc>
          <w:tcPr>
            <w:tcW w:w="900"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60</w:t>
            </w:r>
          </w:p>
        </w:tc>
        <w:tc>
          <w:tcPr>
            <w:tcW w:w="900"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40</w:t>
            </w:r>
          </w:p>
        </w:tc>
        <w:tc>
          <w:tcPr>
            <w:tcW w:w="900"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67" w:type="dxa"/>
            <w:vMerge w:val="continue"/>
            <w:tcBorders>
              <w:left w:val="nil"/>
              <w:bottom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136" w:type="dxa"/>
            <w:tcBorders>
              <w:top w:val="nil"/>
              <w:left w:val="single" w:color="auto" w:sz="4" w:space="0"/>
              <w:bottom w:val="nil"/>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21～30</w:t>
            </w:r>
          </w:p>
        </w:tc>
        <w:tc>
          <w:tcPr>
            <w:tcW w:w="797"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900"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85</w:t>
            </w:r>
          </w:p>
        </w:tc>
        <w:tc>
          <w:tcPr>
            <w:tcW w:w="900"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70</w:t>
            </w:r>
          </w:p>
        </w:tc>
        <w:tc>
          <w:tcPr>
            <w:tcW w:w="900"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55</w:t>
            </w:r>
          </w:p>
        </w:tc>
        <w:tc>
          <w:tcPr>
            <w:tcW w:w="900" w:type="dxa"/>
            <w:tcBorders>
              <w:top w:val="nil"/>
              <w:left w:val="nil"/>
              <w:bottom w:val="nil"/>
              <w:right w:val="nil"/>
            </w:tcBorders>
            <w:vAlign w:val="top"/>
          </w:tcPr>
          <w:p>
            <w:pPr>
              <w:pStyle w:val="2"/>
              <w:spacing w:line="240" w:lineRule="exact"/>
              <w:jc w:val="center"/>
              <w:rPr>
                <w:rFonts w:hint="eastAsia" w:hAnsi="宋体"/>
                <w:sz w:val="18"/>
                <w:szCs w:val="18"/>
              </w:rPr>
            </w:pPr>
            <w:r>
              <w:rPr>
                <w:rFonts w:hint="eastAsia" w:hAnsi="宋体"/>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67" w:type="dxa"/>
            <w:vMerge w:val="continue"/>
            <w:tcBorders>
              <w:left w:val="nil"/>
              <w:bottom w:val="nil"/>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136" w:type="dxa"/>
            <w:tcBorders>
              <w:top w:val="nil"/>
              <w:left w:val="single" w:color="auto" w:sz="4" w:space="0"/>
              <w:bottom w:val="nil"/>
              <w:right w:val="nil"/>
            </w:tcBorders>
            <w:shd w:val="clear" w:color="auto" w:fill="E0E0E0"/>
            <w:vAlign w:val="top"/>
          </w:tcPr>
          <w:p>
            <w:pPr>
              <w:spacing w:line="240" w:lineRule="exact"/>
              <w:jc w:val="center"/>
              <w:rPr>
                <w:rFonts w:hint="eastAsia" w:ascii="宋体" w:hAnsi="宋体"/>
                <w:sz w:val="18"/>
                <w:szCs w:val="18"/>
              </w:rPr>
            </w:pPr>
            <w:r>
              <w:rPr>
                <w:rFonts w:hint="eastAsia" w:ascii="宋体" w:hAnsi="宋体"/>
                <w:sz w:val="18"/>
                <w:szCs w:val="18"/>
              </w:rPr>
              <w:t>11～20</w:t>
            </w:r>
          </w:p>
        </w:tc>
        <w:tc>
          <w:tcPr>
            <w:tcW w:w="797"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100</w:t>
            </w:r>
          </w:p>
        </w:tc>
        <w:tc>
          <w:tcPr>
            <w:tcW w:w="900"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90</w:t>
            </w:r>
          </w:p>
        </w:tc>
        <w:tc>
          <w:tcPr>
            <w:tcW w:w="900"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80</w:t>
            </w:r>
          </w:p>
        </w:tc>
        <w:tc>
          <w:tcPr>
            <w:tcW w:w="900"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70</w:t>
            </w:r>
          </w:p>
        </w:tc>
        <w:tc>
          <w:tcPr>
            <w:tcW w:w="900" w:type="dxa"/>
            <w:tcBorders>
              <w:top w:val="nil"/>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467" w:type="dxa"/>
            <w:vMerge w:val="continue"/>
            <w:tcBorders>
              <w:left w:val="nil"/>
              <w:bottom w:val="single" w:color="auto" w:sz="4" w:space="0"/>
              <w:right w:val="single" w:color="auto" w:sz="4" w:space="0"/>
            </w:tcBorders>
            <w:shd w:val="clear" w:color="auto" w:fill="FFFFFF"/>
            <w:vAlign w:val="top"/>
          </w:tcPr>
          <w:p>
            <w:pPr>
              <w:spacing w:line="240" w:lineRule="exact"/>
              <w:jc w:val="center"/>
              <w:rPr>
                <w:rFonts w:hint="eastAsia" w:ascii="宋体" w:hAnsi="宋体"/>
                <w:sz w:val="18"/>
                <w:szCs w:val="18"/>
              </w:rPr>
            </w:pPr>
          </w:p>
        </w:tc>
        <w:tc>
          <w:tcPr>
            <w:tcW w:w="1136" w:type="dxa"/>
            <w:tcBorders>
              <w:top w:val="nil"/>
              <w:left w:val="single" w:color="auto" w:sz="4" w:space="0"/>
              <w:bottom w:val="single" w:color="auto" w:sz="4" w:space="0"/>
              <w:right w:val="nil"/>
            </w:tcBorders>
            <w:shd w:val="clear" w:color="auto" w:fill="FFFFFF"/>
            <w:vAlign w:val="top"/>
          </w:tcPr>
          <w:p>
            <w:pPr>
              <w:spacing w:line="240" w:lineRule="exact"/>
              <w:jc w:val="center"/>
              <w:rPr>
                <w:rFonts w:hint="eastAsia" w:ascii="宋体" w:hAnsi="宋体"/>
                <w:sz w:val="18"/>
                <w:szCs w:val="18"/>
              </w:rPr>
            </w:pPr>
            <w:r>
              <w:rPr>
                <w:rFonts w:hint="eastAsia" w:ascii="宋体" w:hAnsi="宋体"/>
                <w:sz w:val="18"/>
                <w:szCs w:val="18"/>
              </w:rPr>
              <w:t>≤10</w:t>
            </w:r>
          </w:p>
        </w:tc>
        <w:tc>
          <w:tcPr>
            <w:tcW w:w="797"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100</w:t>
            </w:r>
          </w:p>
        </w:tc>
        <w:tc>
          <w:tcPr>
            <w:tcW w:w="900"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95</w:t>
            </w:r>
          </w:p>
        </w:tc>
        <w:tc>
          <w:tcPr>
            <w:tcW w:w="900"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90</w:t>
            </w:r>
          </w:p>
        </w:tc>
        <w:tc>
          <w:tcPr>
            <w:tcW w:w="900"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85</w:t>
            </w:r>
          </w:p>
        </w:tc>
        <w:tc>
          <w:tcPr>
            <w:tcW w:w="900" w:type="dxa"/>
            <w:tcBorders>
              <w:top w:val="nil"/>
              <w:left w:val="nil"/>
              <w:bottom w:val="single" w:color="auto" w:sz="4" w:space="0"/>
              <w:right w:val="nil"/>
            </w:tcBorders>
            <w:vAlign w:val="top"/>
          </w:tcPr>
          <w:p>
            <w:pPr>
              <w:pStyle w:val="2"/>
              <w:spacing w:line="240" w:lineRule="exact"/>
              <w:jc w:val="center"/>
              <w:rPr>
                <w:rFonts w:hint="eastAsia" w:hAnsi="宋体"/>
                <w:sz w:val="18"/>
                <w:szCs w:val="18"/>
              </w:rPr>
            </w:pPr>
            <w:r>
              <w:rPr>
                <w:rFonts w:hint="eastAsia" w:hAnsi="宋体"/>
                <w:sz w:val="18"/>
                <w:szCs w:val="18"/>
              </w:rPr>
              <w:t>80</w:t>
            </w:r>
          </w:p>
        </w:tc>
      </w:tr>
    </w:tbl>
    <w:p>
      <w:pPr>
        <w:pStyle w:val="15"/>
        <w:numPr>
          <w:numId w:val="0"/>
        </w:numPr>
        <w:spacing w:before="240" w:after="240"/>
      </w:pPr>
      <w:r>
        <w:rPr>
          <w:rFonts w:hint="eastAsia"/>
        </w:rPr>
        <w:t>C.8 手、足功能丧失程度评定</w:t>
      </w:r>
    </w:p>
    <w:p>
      <w:pPr>
        <w:pStyle w:val="15"/>
        <w:numPr>
          <w:numId w:val="0"/>
        </w:numPr>
        <w:spacing w:before="240" w:after="240"/>
        <w:rPr>
          <w:rFonts w:hint="eastAsia"/>
        </w:rPr>
      </w:pPr>
      <w:r>
        <w:rPr>
          <w:rFonts w:hint="eastAsia"/>
        </w:rPr>
        <w:t>C.8.1 手、足缺失评分（见图C-1和图C-2）</w:t>
      </w:r>
    </w:p>
    <w:tbl>
      <w:tblPr>
        <w:tblStyle w:val="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1"/>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61" w:hRule="atLeast"/>
        </w:trPr>
        <w:tc>
          <w:tcPr>
            <w:tcW w:w="8522" w:type="dxa"/>
            <w:gridSpan w:val="2"/>
            <w:tcBorders>
              <w:top w:val="nil"/>
              <w:left w:val="nil"/>
              <w:bottom w:val="nil"/>
              <w:right w:val="nil"/>
            </w:tcBorders>
            <w:vAlign w:val="top"/>
          </w:tcPr>
          <w:p>
            <w:pPr>
              <w:jc w:val="center"/>
              <w:rPr>
                <w:rFonts w:ascii="宋体" w:hAnsi="Times New Roman"/>
                <w:sz w:val="18"/>
              </w:rPr>
            </w:pPr>
            <w:r>
              <w:rPr>
                <w:rFonts w:ascii="宋体" w:hAnsi="Times New Roman"/>
                <w:sz w:val="18"/>
              </w:rPr>
              <w:drawing>
                <wp:inline distT="0" distB="0" distL="114300" distR="114300">
                  <wp:extent cx="3643630" cy="1776730"/>
                  <wp:effectExtent l="0" t="0" r="13970" b="1397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Rot="1" noChangeAspect="1"/>
                          </pic:cNvPicPr>
                        </pic:nvPicPr>
                        <pic:blipFill>
                          <a:blip r:embed="rId5"/>
                          <a:stretch>
                            <a:fillRect/>
                          </a:stretch>
                        </pic:blipFill>
                        <pic:spPr>
                          <a:xfrm>
                            <a:off x="0" y="0"/>
                            <a:ext cx="3643630" cy="1776730"/>
                          </a:xfrm>
                          <a:prstGeom prst="rect">
                            <a:avLst/>
                          </a:prstGeom>
                          <a:noFill/>
                          <a:ln w="9525">
                            <a:noFill/>
                          </a:ln>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261" w:type="dxa"/>
            <w:tcBorders>
              <w:top w:val="nil"/>
              <w:left w:val="nil"/>
              <w:bottom w:val="nil"/>
              <w:right w:val="nil"/>
            </w:tcBorders>
            <w:vAlign w:val="top"/>
          </w:tcPr>
          <w:p>
            <w:pPr>
              <w:spacing w:line="240" w:lineRule="exact"/>
              <w:jc w:val="center"/>
              <w:rPr>
                <w:rFonts w:hint="eastAsia" w:ascii="宋体" w:hAnsi="Times New Roman"/>
                <w:sz w:val="18"/>
                <w:szCs w:val="18"/>
              </w:rPr>
            </w:pPr>
            <w:r>
              <w:rPr>
                <w:rFonts w:hint="eastAsia" w:ascii="宋体" w:hAnsi="Times New Roman"/>
                <w:sz w:val="18"/>
                <w:szCs w:val="18"/>
              </w:rPr>
              <w:t>图C-1手缺失评分示意图</w:t>
            </w:r>
          </w:p>
          <w:p>
            <w:pPr>
              <w:spacing w:line="240" w:lineRule="exact"/>
              <w:jc w:val="center"/>
              <w:rPr>
                <w:rFonts w:ascii="宋体" w:hAnsi="Times New Roman"/>
                <w:sz w:val="18"/>
              </w:rPr>
            </w:pPr>
            <w:r>
              <w:rPr>
                <w:rFonts w:hint="eastAsia" w:ascii="宋体" w:hAnsi="Times New Roman"/>
                <w:sz w:val="18"/>
                <w:szCs w:val="18"/>
              </w:rPr>
              <w:t>图中数字示手指缺失平面相当于手功能丧失的分值</w:t>
            </w:r>
          </w:p>
        </w:tc>
        <w:tc>
          <w:tcPr>
            <w:tcW w:w="4261" w:type="dxa"/>
            <w:tcBorders>
              <w:top w:val="nil"/>
              <w:left w:val="nil"/>
              <w:bottom w:val="nil"/>
              <w:right w:val="nil"/>
            </w:tcBorders>
            <w:vAlign w:val="top"/>
          </w:tcPr>
          <w:p>
            <w:pPr>
              <w:spacing w:line="240" w:lineRule="exact"/>
              <w:jc w:val="center"/>
              <w:rPr>
                <w:rFonts w:hint="eastAsia" w:ascii="宋体" w:hAnsi="Times New Roman"/>
                <w:sz w:val="18"/>
                <w:szCs w:val="18"/>
              </w:rPr>
            </w:pPr>
            <w:r>
              <w:rPr>
                <w:rFonts w:hint="eastAsia" w:ascii="宋体" w:hAnsi="Times New Roman"/>
                <w:sz w:val="18"/>
                <w:szCs w:val="18"/>
              </w:rPr>
              <w:t>图C-2 足缺失评分示意图</w:t>
            </w:r>
          </w:p>
          <w:p>
            <w:pPr>
              <w:spacing w:line="240" w:lineRule="exact"/>
              <w:jc w:val="center"/>
              <w:rPr>
                <w:rFonts w:ascii="宋体" w:hAnsi="Times New Roman"/>
                <w:sz w:val="18"/>
              </w:rPr>
            </w:pPr>
            <w:r>
              <w:rPr>
                <w:rFonts w:hint="eastAsia" w:ascii="宋体" w:hAnsi="Times New Roman"/>
                <w:sz w:val="18"/>
                <w:szCs w:val="18"/>
              </w:rPr>
              <w:t>图中数字示足缺失平面相当于足功能丧失的分值</w:t>
            </w:r>
          </w:p>
        </w:tc>
      </w:tr>
    </w:tbl>
    <w:p>
      <w:pPr>
        <w:pStyle w:val="15"/>
        <w:numPr>
          <w:numId w:val="0"/>
        </w:numPr>
        <w:wordWrap/>
        <w:spacing w:before="120" w:beforeLines="50" w:after="120" w:afterLines="50" w:line="340" w:lineRule="exact"/>
        <w:rPr>
          <w:rFonts w:hint="eastAsia"/>
        </w:rPr>
      </w:pPr>
      <w:r>
        <w:rPr>
          <w:rFonts w:hint="eastAsia"/>
        </w:rPr>
        <w:t>C.8.2 手指关节功能障碍评分（见表C-10）</w:t>
      </w:r>
    </w:p>
    <w:p>
      <w:pPr>
        <w:pStyle w:val="21"/>
        <w:numPr>
          <w:numId w:val="0"/>
        </w:numPr>
        <w:spacing w:before="120" w:after="120"/>
      </w:pPr>
      <w:r>
        <w:rPr>
          <w:rFonts w:hint="eastAsia"/>
        </w:rPr>
        <w:t>表C-10 手指关节功能障碍相当于手功能丧失分值的评定</w:t>
      </w:r>
    </w:p>
    <w:tbl>
      <w:tblPr>
        <w:tblStyle w:val="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760"/>
        <w:gridCol w:w="1391"/>
        <w:gridCol w:w="1849"/>
        <w:gridCol w:w="1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577" w:type="dxa"/>
            <w:gridSpan w:val="2"/>
            <w:vMerge w:val="restart"/>
            <w:tcBorders>
              <w:top w:val="single" w:color="auto" w:sz="4" w:space="0"/>
              <w:left w:val="nil"/>
              <w:bottom w:val="nil"/>
              <w:right w:val="single" w:color="auto" w:sz="4" w:space="0"/>
            </w:tcBorders>
            <w:vAlign w:val="top"/>
          </w:tcPr>
          <w:p>
            <w:pPr>
              <w:pStyle w:val="10"/>
              <w:spacing w:line="240" w:lineRule="exact"/>
              <w:ind w:firstLine="0" w:firstLineChars="0"/>
              <w:jc w:val="center"/>
              <w:rPr>
                <w:rFonts w:hint="eastAsia"/>
                <w:sz w:val="18"/>
                <w:szCs w:val="18"/>
              </w:rPr>
            </w:pPr>
          </w:p>
          <w:p>
            <w:pPr>
              <w:pStyle w:val="10"/>
              <w:spacing w:line="240" w:lineRule="exact"/>
              <w:ind w:firstLine="0" w:firstLineChars="0"/>
              <w:jc w:val="center"/>
              <w:rPr>
                <w:rFonts w:hint="eastAsia"/>
                <w:sz w:val="18"/>
                <w:szCs w:val="18"/>
              </w:rPr>
            </w:pPr>
            <w:r>
              <w:rPr>
                <w:rFonts w:hint="eastAsia"/>
                <w:sz w:val="18"/>
                <w:szCs w:val="18"/>
              </w:rPr>
              <w:t>受累部位及情形</w:t>
            </w:r>
          </w:p>
        </w:tc>
        <w:tc>
          <w:tcPr>
            <w:tcW w:w="4945" w:type="dxa"/>
            <w:gridSpan w:val="3"/>
            <w:tcBorders>
              <w:top w:val="single" w:color="auto" w:sz="4" w:space="0"/>
              <w:left w:val="single" w:color="auto" w:sz="4" w:space="0"/>
              <w:bottom w:val="single" w:color="auto" w:sz="4" w:space="0"/>
              <w:right w:val="nil"/>
            </w:tcBorders>
            <w:vAlign w:val="top"/>
          </w:tcPr>
          <w:p>
            <w:pPr>
              <w:pStyle w:val="10"/>
              <w:spacing w:line="240" w:lineRule="exact"/>
              <w:ind w:firstLine="0" w:firstLineChars="0"/>
              <w:jc w:val="center"/>
              <w:rPr>
                <w:rFonts w:hint="eastAsia"/>
                <w:sz w:val="18"/>
                <w:szCs w:val="18"/>
              </w:rPr>
            </w:pPr>
            <w:r>
              <w:rPr>
                <w:rFonts w:hint="eastAsia"/>
                <w:sz w:val="18"/>
                <w:szCs w:val="18"/>
              </w:rPr>
              <w:t>功能障碍程度及手功能丧失分值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577" w:type="dxa"/>
            <w:gridSpan w:val="2"/>
            <w:vMerge w:val="continue"/>
            <w:tcBorders>
              <w:top w:val="nil"/>
              <w:left w:val="nil"/>
              <w:bottom w:val="single" w:color="auto" w:sz="4" w:space="0"/>
              <w:right w:val="single" w:color="auto" w:sz="4" w:space="0"/>
            </w:tcBorders>
            <w:vAlign w:val="top"/>
          </w:tcPr>
          <w:p>
            <w:pPr>
              <w:pStyle w:val="10"/>
              <w:spacing w:line="240" w:lineRule="exact"/>
              <w:ind w:firstLine="0" w:firstLineChars="0"/>
              <w:jc w:val="center"/>
              <w:rPr>
                <w:rFonts w:hint="eastAsia"/>
                <w:sz w:val="18"/>
                <w:szCs w:val="18"/>
              </w:rPr>
            </w:pPr>
          </w:p>
        </w:tc>
        <w:tc>
          <w:tcPr>
            <w:tcW w:w="1391" w:type="dxa"/>
            <w:tcBorders>
              <w:top w:val="single" w:color="auto" w:sz="4" w:space="0"/>
              <w:left w:val="single" w:color="auto" w:sz="4" w:space="0"/>
              <w:bottom w:val="single" w:color="auto" w:sz="4" w:space="0"/>
              <w:right w:val="nil"/>
            </w:tcBorders>
            <w:vAlign w:val="top"/>
          </w:tcPr>
          <w:p>
            <w:pPr>
              <w:pStyle w:val="10"/>
              <w:spacing w:line="240" w:lineRule="exact"/>
              <w:ind w:firstLine="0" w:firstLineChars="0"/>
              <w:jc w:val="center"/>
              <w:rPr>
                <w:rFonts w:hint="eastAsia"/>
                <w:sz w:val="18"/>
                <w:szCs w:val="18"/>
              </w:rPr>
            </w:pPr>
            <w:r>
              <w:rPr>
                <w:rFonts w:hint="eastAsia"/>
                <w:sz w:val="18"/>
                <w:szCs w:val="18"/>
              </w:rPr>
              <w:t>非功能位强直</w:t>
            </w:r>
          </w:p>
        </w:tc>
        <w:tc>
          <w:tcPr>
            <w:tcW w:w="1849" w:type="dxa"/>
            <w:tcBorders>
              <w:top w:val="single" w:color="auto" w:sz="4" w:space="0"/>
              <w:left w:val="nil"/>
              <w:bottom w:val="single" w:color="auto" w:sz="4" w:space="0"/>
              <w:right w:val="nil"/>
            </w:tcBorders>
            <w:vAlign w:val="top"/>
          </w:tcPr>
          <w:p>
            <w:pPr>
              <w:pStyle w:val="10"/>
              <w:spacing w:line="240" w:lineRule="exact"/>
              <w:ind w:firstLine="0" w:firstLineChars="0"/>
              <w:jc w:val="center"/>
              <w:rPr>
                <w:rFonts w:hint="eastAsia"/>
                <w:sz w:val="18"/>
                <w:szCs w:val="18"/>
              </w:rPr>
            </w:pPr>
            <w:r>
              <w:rPr>
                <w:rFonts w:hint="eastAsia"/>
                <w:sz w:val="18"/>
                <w:szCs w:val="18"/>
              </w:rPr>
              <w:t>功能位强直或关节活动度≤1/2参考值</w:t>
            </w:r>
          </w:p>
        </w:tc>
        <w:tc>
          <w:tcPr>
            <w:tcW w:w="1705" w:type="dxa"/>
            <w:tcBorders>
              <w:top w:val="single" w:color="auto" w:sz="4" w:space="0"/>
              <w:left w:val="nil"/>
              <w:bottom w:val="single" w:color="auto" w:sz="4" w:space="0"/>
              <w:right w:val="nil"/>
            </w:tcBorders>
            <w:vAlign w:val="top"/>
          </w:tcPr>
          <w:p>
            <w:pPr>
              <w:pStyle w:val="10"/>
              <w:spacing w:line="240" w:lineRule="exact"/>
              <w:ind w:firstLine="0" w:firstLineChars="0"/>
              <w:jc w:val="center"/>
              <w:rPr>
                <w:rFonts w:hint="eastAsia"/>
                <w:sz w:val="18"/>
                <w:szCs w:val="18"/>
              </w:rPr>
            </w:pPr>
            <w:r>
              <w:rPr>
                <w:rFonts w:hint="eastAsia"/>
                <w:sz w:val="18"/>
                <w:szCs w:val="18"/>
              </w:rPr>
              <w:t>关节活动度＞1/2、但≤3/4参考值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Merge w:val="restart"/>
            <w:tcBorders>
              <w:top w:val="single" w:color="auto" w:sz="4" w:space="0"/>
              <w:left w:val="nil"/>
              <w:bottom w:val="nil"/>
              <w:right w:val="nil"/>
            </w:tcBorders>
            <w:shd w:val="clear" w:color="auto" w:fill="auto"/>
            <w:vAlign w:val="top"/>
          </w:tcPr>
          <w:p>
            <w:pPr>
              <w:pStyle w:val="10"/>
              <w:spacing w:line="240" w:lineRule="exact"/>
              <w:ind w:firstLine="0" w:firstLineChars="0"/>
              <w:jc w:val="center"/>
              <w:rPr>
                <w:rFonts w:hint="eastAsia"/>
                <w:sz w:val="18"/>
                <w:szCs w:val="18"/>
              </w:rPr>
            </w:pPr>
          </w:p>
          <w:p>
            <w:pPr>
              <w:pStyle w:val="10"/>
              <w:spacing w:line="240" w:lineRule="exact"/>
              <w:ind w:firstLine="0" w:firstLineChars="0"/>
              <w:jc w:val="center"/>
              <w:rPr>
                <w:rFonts w:hint="eastAsia"/>
                <w:sz w:val="18"/>
                <w:szCs w:val="18"/>
              </w:rPr>
            </w:pPr>
            <w:r>
              <w:rPr>
                <w:rFonts w:hint="eastAsia"/>
                <w:sz w:val="18"/>
                <w:szCs w:val="18"/>
              </w:rPr>
              <w:t>拇指</w:t>
            </w:r>
          </w:p>
        </w:tc>
        <w:tc>
          <w:tcPr>
            <w:tcW w:w="2760" w:type="dxa"/>
            <w:tcBorders>
              <w:top w:val="single" w:color="auto" w:sz="4" w:space="0"/>
              <w:left w:val="nil"/>
              <w:bottom w:val="nil"/>
              <w:right w:val="single" w:color="auto" w:sz="4" w:space="0"/>
            </w:tcBorders>
            <w:shd w:val="clear" w:color="auto" w:fill="auto"/>
            <w:vAlign w:val="top"/>
          </w:tcPr>
          <w:p>
            <w:pPr>
              <w:pStyle w:val="10"/>
              <w:spacing w:line="240" w:lineRule="exact"/>
              <w:ind w:firstLine="0" w:firstLineChars="0"/>
              <w:jc w:val="left"/>
              <w:rPr>
                <w:rFonts w:hint="eastAsia"/>
                <w:sz w:val="18"/>
                <w:szCs w:val="18"/>
              </w:rPr>
            </w:pPr>
            <w:r>
              <w:rPr>
                <w:rFonts w:hint="eastAsia"/>
                <w:sz w:val="18"/>
                <w:szCs w:val="18"/>
              </w:rPr>
              <w:t>第一掌腕/掌指/指间关节均受累</w:t>
            </w:r>
          </w:p>
        </w:tc>
        <w:tc>
          <w:tcPr>
            <w:tcW w:w="1391" w:type="dxa"/>
            <w:tcBorders>
              <w:top w:val="single" w:color="auto" w:sz="4" w:space="0"/>
              <w:left w:val="single" w:color="auto" w:sz="4" w:space="0"/>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40</w:t>
            </w:r>
          </w:p>
        </w:tc>
        <w:tc>
          <w:tcPr>
            <w:tcW w:w="1849"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25</w:t>
            </w:r>
          </w:p>
        </w:tc>
        <w:tc>
          <w:tcPr>
            <w:tcW w:w="1705" w:type="dxa"/>
            <w:tcBorders>
              <w:top w:val="single" w:color="auto" w:sz="4" w:space="0"/>
              <w:left w:val="nil"/>
              <w:bottom w:val="nil"/>
              <w:right w:val="nil"/>
            </w:tcBorders>
            <w:shd w:val="clear" w:color="auto" w:fill="E0E0E0"/>
            <w:vAlign w:val="top"/>
          </w:tcPr>
          <w:p>
            <w:pPr>
              <w:pStyle w:val="2"/>
              <w:spacing w:line="240" w:lineRule="exact"/>
              <w:jc w:val="center"/>
              <w:rPr>
                <w:rFonts w:hint="eastAsia" w:hAnsi="宋体"/>
                <w:sz w:val="18"/>
                <w:szCs w:val="18"/>
              </w:rPr>
            </w:pPr>
            <w:r>
              <w:rPr>
                <w:rFonts w:hint="eastAsia" w:hAnsi="宋体"/>
                <w:sz w:val="18"/>
                <w:szCs w:val="18"/>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817" w:type="dxa"/>
            <w:vMerge w:val="continue"/>
            <w:tcBorders>
              <w:top w:val="nil"/>
              <w:left w:val="nil"/>
              <w:bottom w:val="nil"/>
              <w:right w:val="nil"/>
            </w:tcBorders>
            <w:vAlign w:val="top"/>
          </w:tcPr>
          <w:p>
            <w:pPr>
              <w:pStyle w:val="10"/>
              <w:spacing w:line="240" w:lineRule="exact"/>
              <w:ind w:firstLine="0" w:firstLineChars="0"/>
              <w:jc w:val="center"/>
              <w:rPr>
                <w:rFonts w:hint="eastAsia"/>
                <w:sz w:val="18"/>
                <w:szCs w:val="18"/>
              </w:rPr>
            </w:pPr>
          </w:p>
        </w:tc>
        <w:tc>
          <w:tcPr>
            <w:tcW w:w="2760" w:type="dxa"/>
            <w:tcBorders>
              <w:top w:val="nil"/>
              <w:left w:val="nil"/>
              <w:bottom w:val="nil"/>
              <w:right w:val="single" w:color="auto" w:sz="4" w:space="0"/>
            </w:tcBorders>
            <w:vAlign w:val="top"/>
          </w:tcPr>
          <w:p>
            <w:pPr>
              <w:pStyle w:val="10"/>
              <w:spacing w:line="240" w:lineRule="exact"/>
              <w:ind w:firstLine="0" w:firstLineChars="0"/>
              <w:jc w:val="left"/>
              <w:rPr>
                <w:rFonts w:hint="eastAsia"/>
                <w:sz w:val="18"/>
                <w:szCs w:val="18"/>
              </w:rPr>
            </w:pPr>
            <w:r>
              <w:rPr>
                <w:rFonts w:hint="eastAsia"/>
                <w:sz w:val="18"/>
                <w:szCs w:val="18"/>
              </w:rPr>
              <w:t>掌指、指间关节均受累</w:t>
            </w:r>
          </w:p>
        </w:tc>
        <w:tc>
          <w:tcPr>
            <w:tcW w:w="1391" w:type="dxa"/>
            <w:tcBorders>
              <w:top w:val="nil"/>
              <w:left w:val="single" w:color="auto" w:sz="4" w:space="0"/>
              <w:bottom w:val="nil"/>
              <w:right w:val="nil"/>
            </w:tcBorders>
            <w:vAlign w:val="top"/>
          </w:tcPr>
          <w:p>
            <w:pPr>
              <w:pStyle w:val="10"/>
              <w:spacing w:line="240" w:lineRule="exact"/>
              <w:ind w:firstLine="0" w:firstLineChars="0"/>
              <w:jc w:val="center"/>
              <w:rPr>
                <w:rFonts w:hint="eastAsia"/>
                <w:sz w:val="18"/>
                <w:szCs w:val="18"/>
              </w:rPr>
            </w:pPr>
            <w:r>
              <w:rPr>
                <w:rFonts w:hint="eastAsia"/>
                <w:sz w:val="18"/>
                <w:szCs w:val="18"/>
              </w:rPr>
              <w:t>30</w:t>
            </w:r>
          </w:p>
        </w:tc>
        <w:tc>
          <w:tcPr>
            <w:tcW w:w="1849" w:type="dxa"/>
            <w:tcBorders>
              <w:top w:val="nil"/>
              <w:left w:val="nil"/>
              <w:bottom w:val="nil"/>
              <w:right w:val="nil"/>
            </w:tcBorders>
            <w:vAlign w:val="top"/>
          </w:tcPr>
          <w:p>
            <w:pPr>
              <w:pStyle w:val="10"/>
              <w:spacing w:line="240" w:lineRule="exact"/>
              <w:ind w:firstLine="0" w:firstLineChars="0"/>
              <w:jc w:val="center"/>
              <w:rPr>
                <w:rFonts w:hint="eastAsia"/>
                <w:sz w:val="18"/>
                <w:szCs w:val="18"/>
              </w:rPr>
            </w:pPr>
            <w:r>
              <w:rPr>
                <w:rFonts w:hint="eastAsia"/>
                <w:sz w:val="18"/>
                <w:szCs w:val="18"/>
              </w:rPr>
              <w:t>20</w:t>
            </w:r>
          </w:p>
        </w:tc>
        <w:tc>
          <w:tcPr>
            <w:tcW w:w="1705" w:type="dxa"/>
            <w:tcBorders>
              <w:top w:val="nil"/>
              <w:left w:val="nil"/>
              <w:bottom w:val="nil"/>
              <w:right w:val="nil"/>
            </w:tcBorders>
            <w:vAlign w:val="top"/>
          </w:tcPr>
          <w:p>
            <w:pPr>
              <w:pStyle w:val="10"/>
              <w:spacing w:line="240" w:lineRule="exact"/>
              <w:ind w:firstLine="0" w:firstLineChars="0"/>
              <w:jc w:val="center"/>
              <w:rPr>
                <w:rFonts w:hint="eastAsia"/>
                <w:sz w:val="18"/>
                <w:szCs w:val="18"/>
              </w:rPr>
            </w:pPr>
            <w:r>
              <w:rPr>
                <w:rFonts w:hint="eastAsia"/>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Merge w:val="continue"/>
            <w:tcBorders>
              <w:top w:val="nil"/>
              <w:left w:val="nil"/>
              <w:bottom w:val="single" w:color="auto" w:sz="4" w:space="0"/>
              <w:right w:val="nil"/>
            </w:tcBorders>
            <w:shd w:val="clear" w:color="auto" w:fill="auto"/>
            <w:vAlign w:val="top"/>
          </w:tcPr>
          <w:p>
            <w:pPr>
              <w:pStyle w:val="10"/>
              <w:spacing w:line="240" w:lineRule="exact"/>
              <w:ind w:firstLine="0" w:firstLineChars="0"/>
              <w:jc w:val="center"/>
              <w:rPr>
                <w:rFonts w:hint="eastAsia"/>
                <w:sz w:val="18"/>
                <w:szCs w:val="18"/>
              </w:rPr>
            </w:pPr>
          </w:p>
        </w:tc>
        <w:tc>
          <w:tcPr>
            <w:tcW w:w="2760" w:type="dxa"/>
            <w:tcBorders>
              <w:top w:val="nil"/>
              <w:left w:val="nil"/>
              <w:bottom w:val="single" w:color="auto" w:sz="4" w:space="0"/>
              <w:right w:val="single" w:color="auto" w:sz="4" w:space="0"/>
            </w:tcBorders>
            <w:shd w:val="clear" w:color="auto" w:fill="auto"/>
            <w:vAlign w:val="top"/>
          </w:tcPr>
          <w:p>
            <w:pPr>
              <w:pStyle w:val="10"/>
              <w:spacing w:line="240" w:lineRule="exact"/>
              <w:ind w:firstLine="0" w:firstLineChars="0"/>
              <w:jc w:val="left"/>
              <w:rPr>
                <w:rFonts w:hint="eastAsia"/>
                <w:sz w:val="18"/>
                <w:szCs w:val="18"/>
              </w:rPr>
            </w:pPr>
            <w:r>
              <w:rPr>
                <w:rFonts w:hint="eastAsia"/>
                <w:sz w:val="18"/>
                <w:szCs w:val="18"/>
              </w:rPr>
              <w:t>掌指、指间单一关节受累</w:t>
            </w:r>
          </w:p>
        </w:tc>
        <w:tc>
          <w:tcPr>
            <w:tcW w:w="1391" w:type="dxa"/>
            <w:tcBorders>
              <w:top w:val="nil"/>
              <w:left w:val="single" w:color="auto" w:sz="4" w:space="0"/>
              <w:bottom w:val="single" w:color="auto" w:sz="4" w:space="0"/>
              <w:right w:val="nil"/>
            </w:tcBorders>
            <w:shd w:val="clear" w:color="auto" w:fill="E0E0E0"/>
            <w:vAlign w:val="top"/>
          </w:tcPr>
          <w:p>
            <w:pPr>
              <w:pStyle w:val="10"/>
              <w:spacing w:line="240" w:lineRule="exact"/>
              <w:ind w:firstLine="0" w:firstLineChars="0"/>
              <w:jc w:val="center"/>
              <w:rPr>
                <w:rFonts w:hint="eastAsia"/>
                <w:sz w:val="18"/>
                <w:szCs w:val="18"/>
              </w:rPr>
            </w:pPr>
            <w:r>
              <w:rPr>
                <w:rFonts w:hint="eastAsia"/>
                <w:sz w:val="18"/>
                <w:szCs w:val="18"/>
              </w:rPr>
              <w:t>20</w:t>
            </w:r>
          </w:p>
        </w:tc>
        <w:tc>
          <w:tcPr>
            <w:tcW w:w="1849" w:type="dxa"/>
            <w:tcBorders>
              <w:top w:val="nil"/>
              <w:left w:val="nil"/>
              <w:bottom w:val="single" w:color="auto" w:sz="4" w:space="0"/>
              <w:right w:val="nil"/>
            </w:tcBorders>
            <w:shd w:val="clear" w:color="auto" w:fill="E0E0E0"/>
            <w:vAlign w:val="top"/>
          </w:tcPr>
          <w:p>
            <w:pPr>
              <w:pStyle w:val="10"/>
              <w:spacing w:line="240" w:lineRule="exact"/>
              <w:ind w:firstLine="0" w:firstLineChars="0"/>
              <w:jc w:val="center"/>
              <w:rPr>
                <w:rFonts w:hint="eastAsia"/>
                <w:sz w:val="18"/>
                <w:szCs w:val="18"/>
              </w:rPr>
            </w:pPr>
            <w:r>
              <w:rPr>
                <w:rFonts w:hint="eastAsia"/>
                <w:sz w:val="18"/>
                <w:szCs w:val="18"/>
              </w:rPr>
              <w:t>15</w:t>
            </w:r>
          </w:p>
        </w:tc>
        <w:tc>
          <w:tcPr>
            <w:tcW w:w="1705" w:type="dxa"/>
            <w:tcBorders>
              <w:top w:val="nil"/>
              <w:left w:val="nil"/>
              <w:bottom w:val="single" w:color="auto" w:sz="4" w:space="0"/>
              <w:right w:val="nil"/>
            </w:tcBorders>
            <w:shd w:val="clear" w:color="auto" w:fill="E0E0E0"/>
            <w:vAlign w:val="top"/>
          </w:tcPr>
          <w:p>
            <w:pPr>
              <w:pStyle w:val="10"/>
              <w:spacing w:line="240" w:lineRule="exact"/>
              <w:ind w:firstLine="0" w:firstLineChars="0"/>
              <w:jc w:val="center"/>
              <w:rPr>
                <w:rFonts w:hint="eastAsia"/>
                <w:sz w:val="18"/>
                <w:szCs w:val="18"/>
              </w:rPr>
            </w:pPr>
            <w:r>
              <w:rPr>
                <w:rFonts w:hint="eastAsia"/>
                <w:sz w:val="18"/>
                <w:szCs w:val="1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Merge w:val="restart"/>
            <w:tcBorders>
              <w:top w:val="single" w:color="auto" w:sz="4" w:space="0"/>
              <w:left w:val="nil"/>
              <w:bottom w:val="nil"/>
              <w:right w:val="nil"/>
            </w:tcBorders>
            <w:vAlign w:val="top"/>
          </w:tcPr>
          <w:p>
            <w:pPr>
              <w:pStyle w:val="10"/>
              <w:spacing w:line="240" w:lineRule="exact"/>
              <w:ind w:firstLine="0" w:firstLineChars="0"/>
              <w:jc w:val="center"/>
              <w:rPr>
                <w:rFonts w:hint="eastAsia"/>
                <w:sz w:val="18"/>
                <w:szCs w:val="18"/>
              </w:rPr>
            </w:pPr>
          </w:p>
          <w:p>
            <w:pPr>
              <w:pStyle w:val="10"/>
              <w:spacing w:line="240" w:lineRule="exact"/>
              <w:ind w:firstLine="0" w:firstLineChars="0"/>
              <w:jc w:val="center"/>
              <w:rPr>
                <w:rFonts w:hint="eastAsia"/>
                <w:sz w:val="18"/>
                <w:szCs w:val="18"/>
              </w:rPr>
            </w:pPr>
            <w:r>
              <w:rPr>
                <w:rFonts w:hint="eastAsia"/>
                <w:sz w:val="18"/>
                <w:szCs w:val="18"/>
              </w:rPr>
              <w:t>示指</w:t>
            </w:r>
          </w:p>
        </w:tc>
        <w:tc>
          <w:tcPr>
            <w:tcW w:w="2760" w:type="dxa"/>
            <w:tcBorders>
              <w:top w:val="single" w:color="auto" w:sz="4" w:space="0"/>
              <w:left w:val="nil"/>
              <w:bottom w:val="nil"/>
              <w:right w:val="single" w:color="auto" w:sz="4" w:space="0"/>
            </w:tcBorders>
            <w:vAlign w:val="top"/>
          </w:tcPr>
          <w:p>
            <w:pPr>
              <w:pStyle w:val="10"/>
              <w:spacing w:line="240" w:lineRule="exact"/>
              <w:ind w:firstLine="0" w:firstLineChars="0"/>
              <w:jc w:val="left"/>
              <w:rPr>
                <w:rFonts w:hint="eastAsia"/>
                <w:sz w:val="18"/>
                <w:szCs w:val="18"/>
              </w:rPr>
            </w:pPr>
            <w:r>
              <w:rPr>
                <w:rFonts w:hint="eastAsia"/>
                <w:sz w:val="18"/>
                <w:szCs w:val="18"/>
              </w:rPr>
              <w:t>掌指、指间关节均受累</w:t>
            </w:r>
          </w:p>
        </w:tc>
        <w:tc>
          <w:tcPr>
            <w:tcW w:w="1391" w:type="dxa"/>
            <w:tcBorders>
              <w:top w:val="single" w:color="auto" w:sz="4" w:space="0"/>
              <w:left w:val="single" w:color="auto" w:sz="4" w:space="0"/>
              <w:bottom w:val="nil"/>
              <w:right w:val="nil"/>
            </w:tcBorders>
            <w:vAlign w:val="top"/>
          </w:tcPr>
          <w:p>
            <w:pPr>
              <w:pStyle w:val="10"/>
              <w:spacing w:line="240" w:lineRule="exact"/>
              <w:ind w:firstLine="0" w:firstLineChars="0"/>
              <w:jc w:val="center"/>
              <w:rPr>
                <w:rFonts w:hint="eastAsia"/>
                <w:sz w:val="18"/>
                <w:szCs w:val="18"/>
              </w:rPr>
            </w:pPr>
            <w:r>
              <w:rPr>
                <w:rFonts w:hint="eastAsia"/>
                <w:sz w:val="18"/>
                <w:szCs w:val="18"/>
              </w:rPr>
              <w:t>20</w:t>
            </w:r>
          </w:p>
        </w:tc>
        <w:tc>
          <w:tcPr>
            <w:tcW w:w="1849" w:type="dxa"/>
            <w:tcBorders>
              <w:top w:val="single" w:color="auto" w:sz="4" w:space="0"/>
              <w:left w:val="nil"/>
              <w:bottom w:val="nil"/>
              <w:right w:val="nil"/>
            </w:tcBorders>
            <w:vAlign w:val="top"/>
          </w:tcPr>
          <w:p>
            <w:pPr>
              <w:pStyle w:val="10"/>
              <w:spacing w:line="240" w:lineRule="exact"/>
              <w:ind w:firstLine="0" w:firstLineChars="0"/>
              <w:jc w:val="center"/>
              <w:rPr>
                <w:rFonts w:hint="eastAsia"/>
                <w:sz w:val="18"/>
                <w:szCs w:val="18"/>
              </w:rPr>
            </w:pPr>
            <w:r>
              <w:rPr>
                <w:rFonts w:hint="eastAsia"/>
                <w:sz w:val="18"/>
                <w:szCs w:val="18"/>
              </w:rPr>
              <w:t>15</w:t>
            </w:r>
          </w:p>
        </w:tc>
        <w:tc>
          <w:tcPr>
            <w:tcW w:w="1705" w:type="dxa"/>
            <w:tcBorders>
              <w:top w:val="single" w:color="auto" w:sz="4" w:space="0"/>
              <w:left w:val="nil"/>
              <w:bottom w:val="nil"/>
              <w:right w:val="nil"/>
            </w:tcBorders>
            <w:vAlign w:val="top"/>
          </w:tcPr>
          <w:p>
            <w:pPr>
              <w:pStyle w:val="10"/>
              <w:spacing w:line="240" w:lineRule="exact"/>
              <w:ind w:firstLine="0" w:firstLineChars="0"/>
              <w:jc w:val="center"/>
              <w:rPr>
                <w:rFonts w:hint="eastAsia"/>
                <w:sz w:val="18"/>
                <w:szCs w:val="18"/>
              </w:rPr>
            </w:pPr>
            <w:r>
              <w:rPr>
                <w:rFonts w:hint="eastAsia"/>
                <w:sz w:val="18"/>
                <w:szCs w:val="1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Merge w:val="continue"/>
            <w:tcBorders>
              <w:top w:val="nil"/>
              <w:left w:val="nil"/>
              <w:bottom w:val="nil"/>
              <w:right w:val="nil"/>
            </w:tcBorders>
            <w:shd w:val="clear" w:color="auto" w:fill="auto"/>
            <w:vAlign w:val="top"/>
          </w:tcPr>
          <w:p>
            <w:pPr>
              <w:pStyle w:val="10"/>
              <w:spacing w:line="240" w:lineRule="exact"/>
              <w:ind w:firstLine="0" w:firstLineChars="0"/>
              <w:jc w:val="center"/>
              <w:rPr>
                <w:rFonts w:hint="eastAsia"/>
                <w:sz w:val="18"/>
                <w:szCs w:val="18"/>
              </w:rPr>
            </w:pPr>
          </w:p>
        </w:tc>
        <w:tc>
          <w:tcPr>
            <w:tcW w:w="2760" w:type="dxa"/>
            <w:tcBorders>
              <w:top w:val="nil"/>
              <w:left w:val="nil"/>
              <w:bottom w:val="nil"/>
              <w:right w:val="single" w:color="auto" w:sz="4" w:space="0"/>
            </w:tcBorders>
            <w:shd w:val="clear" w:color="auto" w:fill="auto"/>
            <w:vAlign w:val="top"/>
          </w:tcPr>
          <w:p>
            <w:pPr>
              <w:pStyle w:val="10"/>
              <w:spacing w:line="240" w:lineRule="exact"/>
              <w:ind w:firstLine="0" w:firstLineChars="0"/>
              <w:jc w:val="left"/>
              <w:rPr>
                <w:rFonts w:hint="eastAsia"/>
                <w:sz w:val="18"/>
                <w:szCs w:val="18"/>
              </w:rPr>
            </w:pPr>
            <w:r>
              <w:rPr>
                <w:rFonts w:hint="eastAsia"/>
                <w:sz w:val="18"/>
                <w:szCs w:val="18"/>
              </w:rPr>
              <w:t>掌指或近侧指间关节受累</w:t>
            </w:r>
          </w:p>
        </w:tc>
        <w:tc>
          <w:tcPr>
            <w:tcW w:w="1391" w:type="dxa"/>
            <w:tcBorders>
              <w:top w:val="nil"/>
              <w:left w:val="single" w:color="auto" w:sz="4" w:space="0"/>
              <w:bottom w:val="nil"/>
              <w:right w:val="nil"/>
            </w:tcBorders>
            <w:shd w:val="clear" w:color="auto" w:fill="E0E0E0"/>
            <w:vAlign w:val="top"/>
          </w:tcPr>
          <w:p>
            <w:pPr>
              <w:pStyle w:val="10"/>
              <w:spacing w:line="240" w:lineRule="exact"/>
              <w:ind w:firstLine="0" w:firstLineChars="0"/>
              <w:jc w:val="center"/>
              <w:rPr>
                <w:rFonts w:hint="eastAsia"/>
                <w:sz w:val="18"/>
                <w:szCs w:val="18"/>
              </w:rPr>
            </w:pPr>
            <w:r>
              <w:rPr>
                <w:rFonts w:hint="eastAsia"/>
                <w:sz w:val="18"/>
                <w:szCs w:val="18"/>
              </w:rPr>
              <w:t>15</w:t>
            </w:r>
          </w:p>
        </w:tc>
        <w:tc>
          <w:tcPr>
            <w:tcW w:w="1849" w:type="dxa"/>
            <w:tcBorders>
              <w:top w:val="nil"/>
              <w:left w:val="nil"/>
              <w:bottom w:val="nil"/>
              <w:right w:val="nil"/>
            </w:tcBorders>
            <w:shd w:val="clear" w:color="auto" w:fill="E0E0E0"/>
            <w:vAlign w:val="top"/>
          </w:tcPr>
          <w:p>
            <w:pPr>
              <w:pStyle w:val="10"/>
              <w:spacing w:line="240" w:lineRule="exact"/>
              <w:ind w:firstLine="0" w:firstLineChars="0"/>
              <w:jc w:val="center"/>
              <w:rPr>
                <w:rFonts w:hint="eastAsia"/>
                <w:sz w:val="18"/>
                <w:szCs w:val="18"/>
              </w:rPr>
            </w:pPr>
            <w:r>
              <w:rPr>
                <w:rFonts w:hint="eastAsia"/>
                <w:sz w:val="18"/>
                <w:szCs w:val="18"/>
              </w:rPr>
              <w:t>10</w:t>
            </w:r>
          </w:p>
        </w:tc>
        <w:tc>
          <w:tcPr>
            <w:tcW w:w="1705" w:type="dxa"/>
            <w:tcBorders>
              <w:top w:val="nil"/>
              <w:left w:val="nil"/>
              <w:bottom w:val="nil"/>
              <w:right w:val="nil"/>
            </w:tcBorders>
            <w:shd w:val="clear" w:color="auto" w:fill="E0E0E0"/>
            <w:vAlign w:val="top"/>
          </w:tcPr>
          <w:p>
            <w:pPr>
              <w:pStyle w:val="10"/>
              <w:spacing w:line="240" w:lineRule="exact"/>
              <w:ind w:firstLine="0" w:firstLineChars="0"/>
              <w:jc w:val="center"/>
              <w:rPr>
                <w:rFonts w:hint="eastAsia"/>
                <w:sz w:val="18"/>
                <w:szCs w:val="18"/>
              </w:rPr>
            </w:pPr>
            <w:r>
              <w:rPr>
                <w:rFonts w:hint="eastAsia"/>
                <w:sz w:val="18"/>
                <w:szCs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817" w:type="dxa"/>
            <w:vMerge w:val="continue"/>
            <w:tcBorders>
              <w:top w:val="nil"/>
              <w:left w:val="nil"/>
              <w:bottom w:val="single" w:color="auto" w:sz="4" w:space="0"/>
              <w:right w:val="nil"/>
            </w:tcBorders>
            <w:vAlign w:val="top"/>
          </w:tcPr>
          <w:p>
            <w:pPr>
              <w:pStyle w:val="10"/>
              <w:spacing w:line="240" w:lineRule="exact"/>
              <w:ind w:firstLine="0" w:firstLineChars="0"/>
              <w:jc w:val="center"/>
              <w:rPr>
                <w:rFonts w:hint="eastAsia"/>
                <w:sz w:val="18"/>
                <w:szCs w:val="18"/>
              </w:rPr>
            </w:pPr>
          </w:p>
        </w:tc>
        <w:tc>
          <w:tcPr>
            <w:tcW w:w="2760" w:type="dxa"/>
            <w:tcBorders>
              <w:top w:val="nil"/>
              <w:left w:val="nil"/>
              <w:bottom w:val="single" w:color="auto" w:sz="4" w:space="0"/>
              <w:right w:val="single" w:color="auto" w:sz="4" w:space="0"/>
            </w:tcBorders>
            <w:vAlign w:val="top"/>
          </w:tcPr>
          <w:p>
            <w:pPr>
              <w:pStyle w:val="10"/>
              <w:spacing w:line="240" w:lineRule="exact"/>
              <w:ind w:firstLine="0" w:firstLineChars="0"/>
              <w:jc w:val="left"/>
              <w:rPr>
                <w:rFonts w:hint="eastAsia"/>
                <w:sz w:val="18"/>
                <w:szCs w:val="18"/>
              </w:rPr>
            </w:pPr>
            <w:r>
              <w:rPr>
                <w:rFonts w:hint="eastAsia"/>
                <w:sz w:val="18"/>
                <w:szCs w:val="18"/>
              </w:rPr>
              <w:t>远侧指间关节受累</w:t>
            </w:r>
          </w:p>
        </w:tc>
        <w:tc>
          <w:tcPr>
            <w:tcW w:w="1391" w:type="dxa"/>
            <w:tcBorders>
              <w:top w:val="nil"/>
              <w:left w:val="single" w:color="auto" w:sz="4" w:space="0"/>
              <w:bottom w:val="single" w:color="auto" w:sz="4" w:space="0"/>
              <w:right w:val="nil"/>
            </w:tcBorders>
            <w:vAlign w:val="top"/>
          </w:tcPr>
          <w:p>
            <w:pPr>
              <w:pStyle w:val="10"/>
              <w:spacing w:line="240" w:lineRule="exact"/>
              <w:ind w:firstLine="0" w:firstLineChars="0"/>
              <w:jc w:val="center"/>
              <w:rPr>
                <w:rFonts w:hint="eastAsia"/>
                <w:sz w:val="18"/>
                <w:szCs w:val="18"/>
              </w:rPr>
            </w:pPr>
            <w:r>
              <w:rPr>
                <w:rFonts w:hint="eastAsia"/>
                <w:sz w:val="18"/>
                <w:szCs w:val="18"/>
              </w:rPr>
              <w:t>5</w:t>
            </w:r>
          </w:p>
        </w:tc>
        <w:tc>
          <w:tcPr>
            <w:tcW w:w="1849" w:type="dxa"/>
            <w:tcBorders>
              <w:top w:val="nil"/>
              <w:left w:val="nil"/>
              <w:bottom w:val="single" w:color="auto" w:sz="4" w:space="0"/>
              <w:right w:val="nil"/>
            </w:tcBorders>
            <w:vAlign w:val="top"/>
          </w:tcPr>
          <w:p>
            <w:pPr>
              <w:pStyle w:val="10"/>
              <w:spacing w:line="240" w:lineRule="exact"/>
              <w:ind w:firstLine="0" w:firstLineChars="0"/>
              <w:jc w:val="center"/>
              <w:rPr>
                <w:rFonts w:hint="eastAsia"/>
                <w:sz w:val="18"/>
                <w:szCs w:val="18"/>
              </w:rPr>
            </w:pPr>
            <w:r>
              <w:rPr>
                <w:rFonts w:hint="eastAsia"/>
                <w:sz w:val="18"/>
                <w:szCs w:val="18"/>
              </w:rPr>
              <w:t>5</w:t>
            </w:r>
          </w:p>
        </w:tc>
        <w:tc>
          <w:tcPr>
            <w:tcW w:w="1705" w:type="dxa"/>
            <w:tcBorders>
              <w:top w:val="nil"/>
              <w:left w:val="nil"/>
              <w:bottom w:val="single" w:color="auto" w:sz="4" w:space="0"/>
              <w:right w:val="nil"/>
            </w:tcBorders>
            <w:vAlign w:val="top"/>
          </w:tcPr>
          <w:p>
            <w:pPr>
              <w:pStyle w:val="10"/>
              <w:spacing w:line="240" w:lineRule="exact"/>
              <w:ind w:firstLine="0" w:firstLineChars="0"/>
              <w:jc w:val="center"/>
              <w:rPr>
                <w:rFonts w:hint="eastAsia"/>
                <w:sz w:val="18"/>
                <w:szCs w:val="18"/>
              </w:rPr>
            </w:pPr>
            <w:r>
              <w:rPr>
                <w:rFonts w:hint="eastAsia"/>
                <w:sz w:val="18"/>
                <w:szCs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Merge w:val="restart"/>
            <w:tcBorders>
              <w:top w:val="single" w:color="auto" w:sz="4" w:space="0"/>
              <w:left w:val="nil"/>
              <w:bottom w:val="nil"/>
              <w:right w:val="nil"/>
            </w:tcBorders>
            <w:shd w:val="clear" w:color="auto" w:fill="auto"/>
            <w:vAlign w:val="top"/>
          </w:tcPr>
          <w:p>
            <w:pPr>
              <w:pStyle w:val="10"/>
              <w:spacing w:line="240" w:lineRule="exact"/>
              <w:ind w:firstLine="0" w:firstLineChars="0"/>
              <w:jc w:val="center"/>
              <w:rPr>
                <w:rFonts w:hint="eastAsia"/>
                <w:sz w:val="18"/>
                <w:szCs w:val="18"/>
              </w:rPr>
            </w:pPr>
          </w:p>
          <w:p>
            <w:pPr>
              <w:pStyle w:val="10"/>
              <w:spacing w:line="240" w:lineRule="exact"/>
              <w:ind w:firstLine="0" w:firstLineChars="0"/>
              <w:jc w:val="center"/>
              <w:rPr>
                <w:rFonts w:hint="eastAsia"/>
                <w:sz w:val="18"/>
                <w:szCs w:val="18"/>
              </w:rPr>
            </w:pPr>
            <w:r>
              <w:rPr>
                <w:rFonts w:hint="eastAsia"/>
                <w:sz w:val="18"/>
                <w:szCs w:val="18"/>
              </w:rPr>
              <w:t>中指</w:t>
            </w:r>
          </w:p>
        </w:tc>
        <w:tc>
          <w:tcPr>
            <w:tcW w:w="2760" w:type="dxa"/>
            <w:tcBorders>
              <w:top w:val="single" w:color="auto" w:sz="4" w:space="0"/>
              <w:left w:val="nil"/>
              <w:bottom w:val="nil"/>
              <w:right w:val="single" w:color="auto" w:sz="4" w:space="0"/>
            </w:tcBorders>
            <w:shd w:val="clear" w:color="auto" w:fill="auto"/>
            <w:vAlign w:val="top"/>
          </w:tcPr>
          <w:p>
            <w:pPr>
              <w:pStyle w:val="10"/>
              <w:spacing w:line="240" w:lineRule="exact"/>
              <w:ind w:firstLine="0" w:firstLineChars="0"/>
              <w:jc w:val="left"/>
              <w:rPr>
                <w:rFonts w:hint="eastAsia"/>
                <w:sz w:val="18"/>
                <w:szCs w:val="18"/>
              </w:rPr>
            </w:pPr>
            <w:r>
              <w:rPr>
                <w:rFonts w:hint="eastAsia"/>
                <w:sz w:val="18"/>
                <w:szCs w:val="18"/>
              </w:rPr>
              <w:t>掌指、指间关节均受累</w:t>
            </w:r>
          </w:p>
        </w:tc>
        <w:tc>
          <w:tcPr>
            <w:tcW w:w="1391" w:type="dxa"/>
            <w:tcBorders>
              <w:top w:val="single" w:color="auto" w:sz="4" w:space="0"/>
              <w:left w:val="single" w:color="auto" w:sz="4" w:space="0"/>
              <w:bottom w:val="nil"/>
              <w:right w:val="nil"/>
            </w:tcBorders>
            <w:shd w:val="clear" w:color="auto" w:fill="E0E0E0"/>
            <w:vAlign w:val="top"/>
          </w:tcPr>
          <w:p>
            <w:pPr>
              <w:pStyle w:val="10"/>
              <w:spacing w:line="240" w:lineRule="exact"/>
              <w:ind w:firstLine="0" w:firstLineChars="0"/>
              <w:jc w:val="center"/>
              <w:rPr>
                <w:rFonts w:hint="eastAsia"/>
                <w:sz w:val="18"/>
                <w:szCs w:val="18"/>
              </w:rPr>
            </w:pPr>
            <w:r>
              <w:rPr>
                <w:rFonts w:hint="eastAsia"/>
                <w:sz w:val="18"/>
                <w:szCs w:val="18"/>
              </w:rPr>
              <w:t>15</w:t>
            </w:r>
          </w:p>
        </w:tc>
        <w:tc>
          <w:tcPr>
            <w:tcW w:w="1849" w:type="dxa"/>
            <w:tcBorders>
              <w:top w:val="single" w:color="auto" w:sz="4" w:space="0"/>
              <w:left w:val="nil"/>
              <w:bottom w:val="nil"/>
              <w:right w:val="nil"/>
            </w:tcBorders>
            <w:shd w:val="clear" w:color="auto" w:fill="E0E0E0"/>
            <w:vAlign w:val="top"/>
          </w:tcPr>
          <w:p>
            <w:pPr>
              <w:pStyle w:val="10"/>
              <w:spacing w:line="240" w:lineRule="exact"/>
              <w:ind w:firstLine="0" w:firstLineChars="0"/>
              <w:jc w:val="center"/>
              <w:rPr>
                <w:rFonts w:hint="eastAsia"/>
                <w:sz w:val="18"/>
                <w:szCs w:val="18"/>
              </w:rPr>
            </w:pPr>
            <w:r>
              <w:rPr>
                <w:rFonts w:hint="eastAsia"/>
                <w:sz w:val="18"/>
                <w:szCs w:val="18"/>
              </w:rPr>
              <w:t>5</w:t>
            </w:r>
          </w:p>
        </w:tc>
        <w:tc>
          <w:tcPr>
            <w:tcW w:w="1705" w:type="dxa"/>
            <w:tcBorders>
              <w:top w:val="single" w:color="auto" w:sz="4" w:space="0"/>
              <w:left w:val="nil"/>
              <w:bottom w:val="nil"/>
              <w:right w:val="nil"/>
            </w:tcBorders>
            <w:shd w:val="clear" w:color="auto" w:fill="E0E0E0"/>
            <w:vAlign w:val="top"/>
          </w:tcPr>
          <w:p>
            <w:pPr>
              <w:pStyle w:val="10"/>
              <w:spacing w:line="240" w:lineRule="exact"/>
              <w:ind w:firstLine="0" w:firstLineChars="0"/>
              <w:jc w:val="center"/>
              <w:rPr>
                <w:rFonts w:hint="eastAsia"/>
                <w:sz w:val="18"/>
                <w:szCs w:val="18"/>
              </w:rPr>
            </w:pPr>
            <w:r>
              <w:rPr>
                <w:rFonts w:hint="eastAsia"/>
                <w:sz w:val="18"/>
                <w:szCs w:val="1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Merge w:val="continue"/>
            <w:tcBorders>
              <w:top w:val="nil"/>
              <w:left w:val="nil"/>
              <w:bottom w:val="nil"/>
              <w:right w:val="nil"/>
            </w:tcBorders>
            <w:vAlign w:val="top"/>
          </w:tcPr>
          <w:p>
            <w:pPr>
              <w:pStyle w:val="10"/>
              <w:spacing w:line="240" w:lineRule="exact"/>
              <w:ind w:firstLine="0" w:firstLineChars="0"/>
              <w:jc w:val="center"/>
              <w:rPr>
                <w:rFonts w:hint="eastAsia"/>
                <w:sz w:val="18"/>
                <w:szCs w:val="18"/>
              </w:rPr>
            </w:pPr>
          </w:p>
        </w:tc>
        <w:tc>
          <w:tcPr>
            <w:tcW w:w="2760" w:type="dxa"/>
            <w:tcBorders>
              <w:top w:val="nil"/>
              <w:left w:val="nil"/>
              <w:bottom w:val="nil"/>
              <w:right w:val="single" w:color="auto" w:sz="4" w:space="0"/>
            </w:tcBorders>
            <w:vAlign w:val="top"/>
          </w:tcPr>
          <w:p>
            <w:pPr>
              <w:pStyle w:val="10"/>
              <w:spacing w:line="240" w:lineRule="exact"/>
              <w:ind w:firstLine="0" w:firstLineChars="0"/>
              <w:jc w:val="left"/>
              <w:rPr>
                <w:rFonts w:hint="eastAsia"/>
                <w:sz w:val="18"/>
                <w:szCs w:val="18"/>
              </w:rPr>
            </w:pPr>
            <w:r>
              <w:rPr>
                <w:rFonts w:hint="eastAsia"/>
                <w:sz w:val="18"/>
                <w:szCs w:val="18"/>
              </w:rPr>
              <w:t>掌指或近侧指间关节受累</w:t>
            </w:r>
          </w:p>
        </w:tc>
        <w:tc>
          <w:tcPr>
            <w:tcW w:w="1391" w:type="dxa"/>
            <w:tcBorders>
              <w:top w:val="nil"/>
              <w:left w:val="single" w:color="auto" w:sz="4" w:space="0"/>
              <w:bottom w:val="nil"/>
              <w:right w:val="nil"/>
            </w:tcBorders>
            <w:vAlign w:val="top"/>
          </w:tcPr>
          <w:p>
            <w:pPr>
              <w:pStyle w:val="10"/>
              <w:spacing w:line="240" w:lineRule="exact"/>
              <w:ind w:firstLine="0" w:firstLineChars="0"/>
              <w:jc w:val="center"/>
              <w:rPr>
                <w:rFonts w:hint="eastAsia"/>
                <w:sz w:val="18"/>
                <w:szCs w:val="18"/>
              </w:rPr>
            </w:pPr>
            <w:r>
              <w:rPr>
                <w:rFonts w:hint="eastAsia"/>
                <w:sz w:val="18"/>
                <w:szCs w:val="18"/>
              </w:rPr>
              <w:t>10</w:t>
            </w:r>
          </w:p>
        </w:tc>
        <w:tc>
          <w:tcPr>
            <w:tcW w:w="1849" w:type="dxa"/>
            <w:tcBorders>
              <w:top w:val="nil"/>
              <w:left w:val="nil"/>
              <w:bottom w:val="nil"/>
              <w:right w:val="nil"/>
            </w:tcBorders>
            <w:vAlign w:val="top"/>
          </w:tcPr>
          <w:p>
            <w:pPr>
              <w:pStyle w:val="10"/>
              <w:spacing w:line="240" w:lineRule="exact"/>
              <w:ind w:firstLine="0" w:firstLineChars="0"/>
              <w:jc w:val="center"/>
              <w:rPr>
                <w:rFonts w:hint="eastAsia"/>
                <w:sz w:val="18"/>
                <w:szCs w:val="18"/>
              </w:rPr>
            </w:pPr>
            <w:r>
              <w:rPr>
                <w:rFonts w:hint="eastAsia"/>
                <w:sz w:val="18"/>
                <w:szCs w:val="18"/>
              </w:rPr>
              <w:t>5</w:t>
            </w:r>
          </w:p>
        </w:tc>
        <w:tc>
          <w:tcPr>
            <w:tcW w:w="1705" w:type="dxa"/>
            <w:tcBorders>
              <w:top w:val="nil"/>
              <w:left w:val="nil"/>
              <w:bottom w:val="nil"/>
              <w:right w:val="nil"/>
            </w:tcBorders>
            <w:vAlign w:val="top"/>
          </w:tcPr>
          <w:p>
            <w:pPr>
              <w:pStyle w:val="10"/>
              <w:spacing w:line="240" w:lineRule="exact"/>
              <w:ind w:firstLine="0" w:firstLineChars="0"/>
              <w:jc w:val="center"/>
              <w:rPr>
                <w:rFonts w:hint="eastAsia"/>
                <w:sz w:val="18"/>
                <w:szCs w:val="18"/>
              </w:rPr>
            </w:pPr>
            <w:r>
              <w:rPr>
                <w:rFonts w:hint="eastAsia"/>
                <w:sz w:val="18"/>
                <w:szCs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Merge w:val="continue"/>
            <w:tcBorders>
              <w:top w:val="nil"/>
              <w:left w:val="nil"/>
              <w:bottom w:val="single" w:color="auto" w:sz="4" w:space="0"/>
              <w:right w:val="nil"/>
            </w:tcBorders>
            <w:shd w:val="clear" w:color="auto" w:fill="auto"/>
            <w:vAlign w:val="top"/>
          </w:tcPr>
          <w:p>
            <w:pPr>
              <w:pStyle w:val="10"/>
              <w:spacing w:line="240" w:lineRule="exact"/>
              <w:ind w:firstLine="0" w:firstLineChars="0"/>
              <w:jc w:val="center"/>
              <w:rPr>
                <w:rFonts w:hint="eastAsia"/>
                <w:sz w:val="18"/>
                <w:szCs w:val="18"/>
              </w:rPr>
            </w:pPr>
          </w:p>
        </w:tc>
        <w:tc>
          <w:tcPr>
            <w:tcW w:w="2760" w:type="dxa"/>
            <w:tcBorders>
              <w:top w:val="nil"/>
              <w:left w:val="nil"/>
              <w:bottom w:val="single" w:color="auto" w:sz="4" w:space="0"/>
              <w:right w:val="single" w:color="auto" w:sz="4" w:space="0"/>
            </w:tcBorders>
            <w:shd w:val="clear" w:color="auto" w:fill="auto"/>
            <w:vAlign w:val="top"/>
          </w:tcPr>
          <w:p>
            <w:pPr>
              <w:pStyle w:val="10"/>
              <w:spacing w:line="240" w:lineRule="exact"/>
              <w:ind w:firstLine="0" w:firstLineChars="0"/>
              <w:jc w:val="left"/>
              <w:rPr>
                <w:rFonts w:hint="eastAsia"/>
                <w:sz w:val="18"/>
                <w:szCs w:val="18"/>
              </w:rPr>
            </w:pPr>
            <w:r>
              <w:rPr>
                <w:rFonts w:hint="eastAsia"/>
                <w:sz w:val="18"/>
                <w:szCs w:val="18"/>
              </w:rPr>
              <w:t>远侧指间关节受累</w:t>
            </w:r>
          </w:p>
        </w:tc>
        <w:tc>
          <w:tcPr>
            <w:tcW w:w="1391" w:type="dxa"/>
            <w:tcBorders>
              <w:top w:val="nil"/>
              <w:left w:val="single" w:color="auto" w:sz="4" w:space="0"/>
              <w:bottom w:val="single" w:color="auto" w:sz="4" w:space="0"/>
              <w:right w:val="nil"/>
            </w:tcBorders>
            <w:shd w:val="clear" w:color="auto" w:fill="E0E0E0"/>
            <w:vAlign w:val="top"/>
          </w:tcPr>
          <w:p>
            <w:pPr>
              <w:pStyle w:val="10"/>
              <w:spacing w:line="240" w:lineRule="exact"/>
              <w:ind w:firstLine="0" w:firstLineChars="0"/>
              <w:jc w:val="center"/>
              <w:rPr>
                <w:rFonts w:hint="eastAsia"/>
                <w:sz w:val="18"/>
                <w:szCs w:val="18"/>
              </w:rPr>
            </w:pPr>
            <w:r>
              <w:rPr>
                <w:rFonts w:hint="eastAsia"/>
                <w:sz w:val="18"/>
                <w:szCs w:val="18"/>
              </w:rPr>
              <w:t>5</w:t>
            </w:r>
          </w:p>
        </w:tc>
        <w:tc>
          <w:tcPr>
            <w:tcW w:w="1849" w:type="dxa"/>
            <w:tcBorders>
              <w:top w:val="nil"/>
              <w:left w:val="nil"/>
              <w:bottom w:val="single" w:color="auto" w:sz="4" w:space="0"/>
              <w:right w:val="nil"/>
            </w:tcBorders>
            <w:shd w:val="clear" w:color="auto" w:fill="E0E0E0"/>
            <w:vAlign w:val="top"/>
          </w:tcPr>
          <w:p>
            <w:pPr>
              <w:pStyle w:val="10"/>
              <w:spacing w:line="240" w:lineRule="exact"/>
              <w:ind w:firstLine="0" w:firstLineChars="0"/>
              <w:jc w:val="center"/>
              <w:rPr>
                <w:rFonts w:hint="eastAsia"/>
                <w:sz w:val="18"/>
                <w:szCs w:val="18"/>
              </w:rPr>
            </w:pPr>
            <w:r>
              <w:rPr>
                <w:rFonts w:hint="eastAsia"/>
                <w:sz w:val="18"/>
                <w:szCs w:val="18"/>
              </w:rPr>
              <w:t>0</w:t>
            </w:r>
          </w:p>
        </w:tc>
        <w:tc>
          <w:tcPr>
            <w:tcW w:w="1705" w:type="dxa"/>
            <w:tcBorders>
              <w:top w:val="nil"/>
              <w:left w:val="nil"/>
              <w:bottom w:val="single" w:color="auto" w:sz="4" w:space="0"/>
              <w:right w:val="nil"/>
            </w:tcBorders>
            <w:shd w:val="clear" w:color="auto" w:fill="E0E0E0"/>
            <w:vAlign w:val="top"/>
          </w:tcPr>
          <w:p>
            <w:pPr>
              <w:pStyle w:val="10"/>
              <w:spacing w:line="240" w:lineRule="exact"/>
              <w:ind w:firstLine="0" w:firstLineChars="0"/>
              <w:jc w:val="center"/>
              <w:rPr>
                <w:rFonts w:hint="eastAsia"/>
                <w:sz w:val="18"/>
                <w:szCs w:val="18"/>
              </w:rPr>
            </w:pPr>
            <w:r>
              <w:rPr>
                <w:rFonts w:hint="eastAsia"/>
                <w:sz w:val="18"/>
                <w:szCs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817" w:type="dxa"/>
            <w:vMerge w:val="restart"/>
            <w:tcBorders>
              <w:top w:val="single" w:color="auto" w:sz="4" w:space="0"/>
              <w:left w:val="nil"/>
              <w:bottom w:val="nil"/>
              <w:right w:val="nil"/>
            </w:tcBorders>
            <w:vAlign w:val="top"/>
          </w:tcPr>
          <w:p>
            <w:pPr>
              <w:pStyle w:val="10"/>
              <w:spacing w:line="240" w:lineRule="exact"/>
              <w:ind w:firstLine="0" w:firstLineChars="0"/>
              <w:jc w:val="center"/>
              <w:rPr>
                <w:rFonts w:hint="eastAsia"/>
                <w:sz w:val="18"/>
                <w:szCs w:val="18"/>
              </w:rPr>
            </w:pPr>
          </w:p>
          <w:p>
            <w:pPr>
              <w:pStyle w:val="10"/>
              <w:spacing w:line="240" w:lineRule="exact"/>
              <w:ind w:firstLine="0" w:firstLineChars="0"/>
              <w:jc w:val="center"/>
              <w:rPr>
                <w:rFonts w:hint="eastAsia"/>
                <w:sz w:val="18"/>
                <w:szCs w:val="18"/>
              </w:rPr>
            </w:pPr>
            <w:r>
              <w:rPr>
                <w:rFonts w:hint="eastAsia"/>
                <w:sz w:val="18"/>
                <w:szCs w:val="18"/>
              </w:rPr>
              <w:t>环指</w:t>
            </w:r>
          </w:p>
        </w:tc>
        <w:tc>
          <w:tcPr>
            <w:tcW w:w="2760" w:type="dxa"/>
            <w:tcBorders>
              <w:top w:val="single" w:color="auto" w:sz="4" w:space="0"/>
              <w:left w:val="nil"/>
              <w:bottom w:val="nil"/>
              <w:right w:val="single" w:color="auto" w:sz="4" w:space="0"/>
            </w:tcBorders>
            <w:vAlign w:val="top"/>
          </w:tcPr>
          <w:p>
            <w:pPr>
              <w:pStyle w:val="10"/>
              <w:spacing w:line="240" w:lineRule="exact"/>
              <w:ind w:firstLine="0" w:firstLineChars="0"/>
              <w:jc w:val="left"/>
              <w:rPr>
                <w:rFonts w:hint="eastAsia"/>
                <w:sz w:val="18"/>
                <w:szCs w:val="18"/>
              </w:rPr>
            </w:pPr>
            <w:r>
              <w:rPr>
                <w:rFonts w:hint="eastAsia"/>
                <w:sz w:val="18"/>
                <w:szCs w:val="18"/>
              </w:rPr>
              <w:t>掌指、指间关节均受累</w:t>
            </w:r>
          </w:p>
        </w:tc>
        <w:tc>
          <w:tcPr>
            <w:tcW w:w="1391" w:type="dxa"/>
            <w:tcBorders>
              <w:top w:val="single" w:color="auto" w:sz="4" w:space="0"/>
              <w:left w:val="single" w:color="auto" w:sz="4" w:space="0"/>
              <w:bottom w:val="nil"/>
              <w:right w:val="nil"/>
            </w:tcBorders>
            <w:vAlign w:val="top"/>
          </w:tcPr>
          <w:p>
            <w:pPr>
              <w:pStyle w:val="10"/>
              <w:spacing w:line="240" w:lineRule="exact"/>
              <w:ind w:firstLine="0" w:firstLineChars="0"/>
              <w:jc w:val="center"/>
              <w:rPr>
                <w:rFonts w:hint="eastAsia"/>
                <w:sz w:val="18"/>
                <w:szCs w:val="18"/>
              </w:rPr>
            </w:pPr>
            <w:r>
              <w:rPr>
                <w:rFonts w:hint="eastAsia"/>
                <w:sz w:val="18"/>
                <w:szCs w:val="18"/>
              </w:rPr>
              <w:t>10</w:t>
            </w:r>
          </w:p>
        </w:tc>
        <w:tc>
          <w:tcPr>
            <w:tcW w:w="1849" w:type="dxa"/>
            <w:tcBorders>
              <w:top w:val="single" w:color="auto" w:sz="4" w:space="0"/>
              <w:left w:val="nil"/>
              <w:bottom w:val="nil"/>
              <w:right w:val="nil"/>
            </w:tcBorders>
            <w:vAlign w:val="top"/>
          </w:tcPr>
          <w:p>
            <w:pPr>
              <w:pStyle w:val="10"/>
              <w:spacing w:line="240" w:lineRule="exact"/>
              <w:ind w:firstLine="0" w:firstLineChars="0"/>
              <w:jc w:val="center"/>
              <w:rPr>
                <w:rFonts w:hint="eastAsia"/>
                <w:sz w:val="18"/>
                <w:szCs w:val="18"/>
              </w:rPr>
            </w:pPr>
            <w:r>
              <w:rPr>
                <w:rFonts w:hint="eastAsia"/>
                <w:sz w:val="18"/>
                <w:szCs w:val="18"/>
              </w:rPr>
              <w:t>5</w:t>
            </w:r>
          </w:p>
        </w:tc>
        <w:tc>
          <w:tcPr>
            <w:tcW w:w="1705" w:type="dxa"/>
            <w:tcBorders>
              <w:top w:val="single" w:color="auto" w:sz="4" w:space="0"/>
              <w:left w:val="nil"/>
              <w:bottom w:val="nil"/>
              <w:right w:val="nil"/>
            </w:tcBorders>
            <w:vAlign w:val="top"/>
          </w:tcPr>
          <w:p>
            <w:pPr>
              <w:pStyle w:val="10"/>
              <w:spacing w:line="240" w:lineRule="exact"/>
              <w:ind w:firstLine="0" w:firstLineChars="0"/>
              <w:jc w:val="center"/>
              <w:rPr>
                <w:rFonts w:hint="eastAsia"/>
                <w:sz w:val="18"/>
                <w:szCs w:val="18"/>
              </w:rPr>
            </w:pPr>
            <w:r>
              <w:rPr>
                <w:rFonts w:hint="eastAsia"/>
                <w:sz w:val="18"/>
                <w:szCs w:val="1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Merge w:val="continue"/>
            <w:tcBorders>
              <w:top w:val="nil"/>
              <w:left w:val="nil"/>
              <w:bottom w:val="nil"/>
              <w:right w:val="nil"/>
            </w:tcBorders>
            <w:shd w:val="clear" w:color="auto" w:fill="auto"/>
            <w:vAlign w:val="top"/>
          </w:tcPr>
          <w:p>
            <w:pPr>
              <w:pStyle w:val="10"/>
              <w:spacing w:line="240" w:lineRule="exact"/>
              <w:ind w:firstLine="0" w:firstLineChars="0"/>
              <w:jc w:val="center"/>
              <w:rPr>
                <w:rFonts w:hint="eastAsia"/>
                <w:sz w:val="18"/>
                <w:szCs w:val="18"/>
              </w:rPr>
            </w:pPr>
          </w:p>
        </w:tc>
        <w:tc>
          <w:tcPr>
            <w:tcW w:w="2760" w:type="dxa"/>
            <w:tcBorders>
              <w:top w:val="nil"/>
              <w:left w:val="nil"/>
              <w:bottom w:val="nil"/>
              <w:right w:val="single" w:color="auto" w:sz="4" w:space="0"/>
            </w:tcBorders>
            <w:shd w:val="clear" w:color="auto" w:fill="auto"/>
            <w:vAlign w:val="top"/>
          </w:tcPr>
          <w:p>
            <w:pPr>
              <w:pStyle w:val="10"/>
              <w:spacing w:line="240" w:lineRule="exact"/>
              <w:ind w:firstLine="0" w:firstLineChars="0"/>
              <w:jc w:val="left"/>
              <w:rPr>
                <w:rFonts w:hint="eastAsia"/>
                <w:sz w:val="18"/>
                <w:szCs w:val="18"/>
              </w:rPr>
            </w:pPr>
            <w:r>
              <w:rPr>
                <w:rFonts w:hint="eastAsia"/>
                <w:sz w:val="18"/>
                <w:szCs w:val="18"/>
              </w:rPr>
              <w:t>掌指或近侧指间关节受累</w:t>
            </w:r>
          </w:p>
        </w:tc>
        <w:tc>
          <w:tcPr>
            <w:tcW w:w="1391" w:type="dxa"/>
            <w:tcBorders>
              <w:top w:val="nil"/>
              <w:left w:val="single" w:color="auto" w:sz="4" w:space="0"/>
              <w:bottom w:val="nil"/>
              <w:right w:val="nil"/>
            </w:tcBorders>
            <w:shd w:val="clear" w:color="auto" w:fill="E0E0E0"/>
            <w:vAlign w:val="top"/>
          </w:tcPr>
          <w:p>
            <w:pPr>
              <w:pStyle w:val="10"/>
              <w:spacing w:line="240" w:lineRule="exact"/>
              <w:ind w:firstLine="0" w:firstLineChars="0"/>
              <w:jc w:val="center"/>
              <w:rPr>
                <w:rFonts w:hint="eastAsia"/>
                <w:sz w:val="18"/>
                <w:szCs w:val="18"/>
              </w:rPr>
            </w:pPr>
            <w:r>
              <w:rPr>
                <w:rFonts w:hint="eastAsia"/>
                <w:sz w:val="18"/>
                <w:szCs w:val="18"/>
              </w:rPr>
              <w:t>5</w:t>
            </w:r>
          </w:p>
        </w:tc>
        <w:tc>
          <w:tcPr>
            <w:tcW w:w="1849" w:type="dxa"/>
            <w:tcBorders>
              <w:top w:val="nil"/>
              <w:left w:val="nil"/>
              <w:bottom w:val="nil"/>
              <w:right w:val="nil"/>
            </w:tcBorders>
            <w:shd w:val="clear" w:color="auto" w:fill="E0E0E0"/>
            <w:vAlign w:val="top"/>
          </w:tcPr>
          <w:p>
            <w:pPr>
              <w:pStyle w:val="10"/>
              <w:spacing w:line="240" w:lineRule="exact"/>
              <w:ind w:firstLine="0" w:firstLineChars="0"/>
              <w:jc w:val="center"/>
              <w:rPr>
                <w:rFonts w:hint="eastAsia"/>
                <w:sz w:val="18"/>
                <w:szCs w:val="18"/>
              </w:rPr>
            </w:pPr>
            <w:r>
              <w:rPr>
                <w:rFonts w:hint="eastAsia"/>
                <w:sz w:val="18"/>
                <w:szCs w:val="18"/>
              </w:rPr>
              <w:t>5</w:t>
            </w:r>
          </w:p>
        </w:tc>
        <w:tc>
          <w:tcPr>
            <w:tcW w:w="1705" w:type="dxa"/>
            <w:tcBorders>
              <w:top w:val="nil"/>
              <w:left w:val="nil"/>
              <w:bottom w:val="nil"/>
              <w:right w:val="nil"/>
            </w:tcBorders>
            <w:shd w:val="clear" w:color="auto" w:fill="E0E0E0"/>
            <w:vAlign w:val="top"/>
          </w:tcPr>
          <w:p>
            <w:pPr>
              <w:pStyle w:val="10"/>
              <w:spacing w:line="240" w:lineRule="exact"/>
              <w:ind w:firstLine="0" w:firstLineChars="0"/>
              <w:jc w:val="center"/>
              <w:rPr>
                <w:rFonts w:hint="eastAsia"/>
                <w:sz w:val="18"/>
                <w:szCs w:val="18"/>
              </w:rPr>
            </w:pPr>
            <w:r>
              <w:rPr>
                <w:rFonts w:hint="eastAsia"/>
                <w:sz w:val="18"/>
                <w:szCs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Merge w:val="continue"/>
            <w:tcBorders>
              <w:top w:val="nil"/>
              <w:left w:val="nil"/>
              <w:bottom w:val="single" w:color="auto" w:sz="4" w:space="0"/>
              <w:right w:val="nil"/>
            </w:tcBorders>
            <w:vAlign w:val="top"/>
          </w:tcPr>
          <w:p>
            <w:pPr>
              <w:pStyle w:val="10"/>
              <w:spacing w:line="240" w:lineRule="exact"/>
              <w:ind w:firstLine="0" w:firstLineChars="0"/>
              <w:jc w:val="center"/>
              <w:rPr>
                <w:rFonts w:hint="eastAsia"/>
                <w:sz w:val="18"/>
                <w:szCs w:val="18"/>
              </w:rPr>
            </w:pPr>
          </w:p>
        </w:tc>
        <w:tc>
          <w:tcPr>
            <w:tcW w:w="2760" w:type="dxa"/>
            <w:tcBorders>
              <w:top w:val="nil"/>
              <w:left w:val="nil"/>
              <w:bottom w:val="single" w:color="auto" w:sz="4" w:space="0"/>
              <w:right w:val="single" w:color="auto" w:sz="4" w:space="0"/>
            </w:tcBorders>
            <w:vAlign w:val="top"/>
          </w:tcPr>
          <w:p>
            <w:pPr>
              <w:pStyle w:val="10"/>
              <w:spacing w:line="240" w:lineRule="exact"/>
              <w:ind w:firstLine="0" w:firstLineChars="0"/>
              <w:jc w:val="left"/>
              <w:rPr>
                <w:rFonts w:hint="eastAsia"/>
                <w:sz w:val="18"/>
                <w:szCs w:val="18"/>
              </w:rPr>
            </w:pPr>
            <w:r>
              <w:rPr>
                <w:rFonts w:hint="eastAsia"/>
                <w:sz w:val="18"/>
                <w:szCs w:val="18"/>
              </w:rPr>
              <w:t>远侧指间关节受累</w:t>
            </w:r>
          </w:p>
        </w:tc>
        <w:tc>
          <w:tcPr>
            <w:tcW w:w="1391" w:type="dxa"/>
            <w:tcBorders>
              <w:top w:val="nil"/>
              <w:left w:val="single" w:color="auto" w:sz="4" w:space="0"/>
              <w:bottom w:val="single" w:color="auto" w:sz="4" w:space="0"/>
              <w:right w:val="nil"/>
            </w:tcBorders>
            <w:vAlign w:val="top"/>
          </w:tcPr>
          <w:p>
            <w:pPr>
              <w:pStyle w:val="10"/>
              <w:spacing w:line="240" w:lineRule="exact"/>
              <w:ind w:firstLine="0" w:firstLineChars="0"/>
              <w:jc w:val="center"/>
              <w:rPr>
                <w:rFonts w:hint="eastAsia"/>
                <w:sz w:val="18"/>
                <w:szCs w:val="18"/>
              </w:rPr>
            </w:pPr>
            <w:r>
              <w:rPr>
                <w:rFonts w:hint="eastAsia"/>
                <w:sz w:val="18"/>
                <w:szCs w:val="18"/>
              </w:rPr>
              <w:t>5</w:t>
            </w:r>
          </w:p>
        </w:tc>
        <w:tc>
          <w:tcPr>
            <w:tcW w:w="1849" w:type="dxa"/>
            <w:tcBorders>
              <w:top w:val="nil"/>
              <w:left w:val="nil"/>
              <w:bottom w:val="single" w:color="auto" w:sz="4" w:space="0"/>
              <w:right w:val="nil"/>
            </w:tcBorders>
            <w:vAlign w:val="top"/>
          </w:tcPr>
          <w:p>
            <w:pPr>
              <w:pStyle w:val="10"/>
              <w:spacing w:line="240" w:lineRule="exact"/>
              <w:ind w:firstLine="0" w:firstLineChars="0"/>
              <w:jc w:val="center"/>
              <w:rPr>
                <w:rFonts w:hint="eastAsia"/>
                <w:sz w:val="18"/>
                <w:szCs w:val="18"/>
              </w:rPr>
            </w:pPr>
            <w:r>
              <w:rPr>
                <w:rFonts w:hint="eastAsia"/>
                <w:sz w:val="18"/>
                <w:szCs w:val="18"/>
              </w:rPr>
              <w:t>0</w:t>
            </w:r>
          </w:p>
        </w:tc>
        <w:tc>
          <w:tcPr>
            <w:tcW w:w="1705" w:type="dxa"/>
            <w:tcBorders>
              <w:top w:val="nil"/>
              <w:left w:val="nil"/>
              <w:bottom w:val="single" w:color="auto" w:sz="4" w:space="0"/>
              <w:right w:val="nil"/>
            </w:tcBorders>
            <w:vAlign w:val="top"/>
          </w:tcPr>
          <w:p>
            <w:pPr>
              <w:pStyle w:val="10"/>
              <w:spacing w:line="240" w:lineRule="exact"/>
              <w:ind w:firstLine="0" w:firstLineChars="0"/>
              <w:jc w:val="center"/>
              <w:rPr>
                <w:rFonts w:hint="eastAsia"/>
                <w:sz w:val="18"/>
                <w:szCs w:val="18"/>
              </w:rPr>
            </w:pPr>
            <w:r>
              <w:rPr>
                <w:rFonts w:hint="eastAsia"/>
                <w:sz w:val="18"/>
                <w:szCs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Merge w:val="restart"/>
            <w:tcBorders>
              <w:top w:val="single" w:color="auto" w:sz="4" w:space="0"/>
              <w:left w:val="nil"/>
              <w:bottom w:val="nil"/>
              <w:right w:val="nil"/>
            </w:tcBorders>
            <w:shd w:val="clear" w:color="auto" w:fill="auto"/>
            <w:vAlign w:val="top"/>
          </w:tcPr>
          <w:p>
            <w:pPr>
              <w:pStyle w:val="10"/>
              <w:spacing w:line="240" w:lineRule="exact"/>
              <w:ind w:firstLine="0" w:firstLineChars="0"/>
              <w:jc w:val="center"/>
              <w:rPr>
                <w:rFonts w:hint="eastAsia"/>
                <w:sz w:val="18"/>
                <w:szCs w:val="18"/>
              </w:rPr>
            </w:pPr>
          </w:p>
          <w:p>
            <w:pPr>
              <w:pStyle w:val="10"/>
              <w:spacing w:line="240" w:lineRule="exact"/>
              <w:ind w:firstLine="0" w:firstLineChars="0"/>
              <w:jc w:val="center"/>
              <w:rPr>
                <w:rFonts w:hint="eastAsia"/>
                <w:sz w:val="18"/>
                <w:szCs w:val="18"/>
              </w:rPr>
            </w:pPr>
            <w:r>
              <w:rPr>
                <w:rFonts w:hint="eastAsia"/>
                <w:sz w:val="18"/>
                <w:szCs w:val="18"/>
              </w:rPr>
              <w:t>小指</w:t>
            </w:r>
          </w:p>
        </w:tc>
        <w:tc>
          <w:tcPr>
            <w:tcW w:w="2760" w:type="dxa"/>
            <w:tcBorders>
              <w:top w:val="single" w:color="auto" w:sz="4" w:space="0"/>
              <w:left w:val="nil"/>
              <w:bottom w:val="nil"/>
              <w:right w:val="single" w:color="auto" w:sz="4" w:space="0"/>
            </w:tcBorders>
            <w:shd w:val="clear" w:color="auto" w:fill="auto"/>
            <w:vAlign w:val="top"/>
          </w:tcPr>
          <w:p>
            <w:pPr>
              <w:pStyle w:val="10"/>
              <w:spacing w:line="240" w:lineRule="exact"/>
              <w:ind w:firstLine="0" w:firstLineChars="0"/>
              <w:jc w:val="left"/>
              <w:rPr>
                <w:rFonts w:hint="eastAsia"/>
                <w:sz w:val="18"/>
                <w:szCs w:val="18"/>
              </w:rPr>
            </w:pPr>
            <w:r>
              <w:rPr>
                <w:rFonts w:hint="eastAsia"/>
                <w:sz w:val="18"/>
                <w:szCs w:val="18"/>
              </w:rPr>
              <w:t>掌指、指间关节均受累</w:t>
            </w:r>
          </w:p>
        </w:tc>
        <w:tc>
          <w:tcPr>
            <w:tcW w:w="1391" w:type="dxa"/>
            <w:tcBorders>
              <w:top w:val="single" w:color="auto" w:sz="4" w:space="0"/>
              <w:left w:val="single" w:color="auto" w:sz="4" w:space="0"/>
              <w:bottom w:val="nil"/>
              <w:right w:val="nil"/>
            </w:tcBorders>
            <w:shd w:val="clear" w:color="auto" w:fill="E0E0E0"/>
            <w:vAlign w:val="top"/>
          </w:tcPr>
          <w:p>
            <w:pPr>
              <w:pStyle w:val="10"/>
              <w:spacing w:line="240" w:lineRule="exact"/>
              <w:ind w:firstLine="0" w:firstLineChars="0"/>
              <w:jc w:val="center"/>
              <w:rPr>
                <w:rFonts w:hint="eastAsia"/>
                <w:sz w:val="18"/>
                <w:szCs w:val="18"/>
              </w:rPr>
            </w:pPr>
            <w:r>
              <w:rPr>
                <w:rFonts w:hint="eastAsia"/>
                <w:sz w:val="18"/>
                <w:szCs w:val="18"/>
              </w:rPr>
              <w:t>5</w:t>
            </w:r>
          </w:p>
        </w:tc>
        <w:tc>
          <w:tcPr>
            <w:tcW w:w="1849" w:type="dxa"/>
            <w:tcBorders>
              <w:top w:val="single" w:color="auto" w:sz="4" w:space="0"/>
              <w:left w:val="nil"/>
              <w:bottom w:val="nil"/>
              <w:right w:val="nil"/>
            </w:tcBorders>
            <w:shd w:val="clear" w:color="auto" w:fill="E0E0E0"/>
            <w:vAlign w:val="top"/>
          </w:tcPr>
          <w:p>
            <w:pPr>
              <w:pStyle w:val="10"/>
              <w:spacing w:line="240" w:lineRule="exact"/>
              <w:ind w:firstLine="0" w:firstLineChars="0"/>
              <w:jc w:val="center"/>
              <w:rPr>
                <w:rFonts w:hint="eastAsia"/>
                <w:sz w:val="18"/>
                <w:szCs w:val="18"/>
              </w:rPr>
            </w:pPr>
            <w:r>
              <w:rPr>
                <w:rFonts w:hint="eastAsia"/>
                <w:sz w:val="18"/>
                <w:szCs w:val="18"/>
              </w:rPr>
              <w:t>5</w:t>
            </w:r>
          </w:p>
        </w:tc>
        <w:tc>
          <w:tcPr>
            <w:tcW w:w="1705" w:type="dxa"/>
            <w:tcBorders>
              <w:top w:val="single" w:color="auto" w:sz="4" w:space="0"/>
              <w:left w:val="nil"/>
              <w:bottom w:val="nil"/>
              <w:right w:val="nil"/>
            </w:tcBorders>
            <w:shd w:val="clear" w:color="auto" w:fill="E0E0E0"/>
            <w:vAlign w:val="top"/>
          </w:tcPr>
          <w:p>
            <w:pPr>
              <w:pStyle w:val="10"/>
              <w:spacing w:line="240" w:lineRule="exact"/>
              <w:ind w:firstLine="0" w:firstLineChars="0"/>
              <w:jc w:val="center"/>
              <w:rPr>
                <w:rFonts w:hint="eastAsia"/>
                <w:sz w:val="18"/>
                <w:szCs w:val="18"/>
              </w:rPr>
            </w:pPr>
            <w:r>
              <w:rPr>
                <w:rFonts w:hint="eastAsia"/>
                <w:sz w:val="18"/>
                <w:szCs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817" w:type="dxa"/>
            <w:vMerge w:val="continue"/>
            <w:tcBorders>
              <w:top w:val="nil"/>
              <w:left w:val="nil"/>
              <w:bottom w:val="nil"/>
              <w:right w:val="nil"/>
            </w:tcBorders>
            <w:vAlign w:val="top"/>
          </w:tcPr>
          <w:p>
            <w:pPr>
              <w:pStyle w:val="10"/>
              <w:spacing w:line="240" w:lineRule="exact"/>
              <w:ind w:firstLine="0" w:firstLineChars="0"/>
              <w:jc w:val="center"/>
              <w:rPr>
                <w:rFonts w:hint="eastAsia"/>
                <w:sz w:val="18"/>
                <w:szCs w:val="18"/>
              </w:rPr>
            </w:pPr>
          </w:p>
        </w:tc>
        <w:tc>
          <w:tcPr>
            <w:tcW w:w="2760" w:type="dxa"/>
            <w:tcBorders>
              <w:top w:val="nil"/>
              <w:left w:val="nil"/>
              <w:bottom w:val="nil"/>
              <w:right w:val="single" w:color="auto" w:sz="4" w:space="0"/>
            </w:tcBorders>
            <w:vAlign w:val="top"/>
          </w:tcPr>
          <w:p>
            <w:pPr>
              <w:pStyle w:val="10"/>
              <w:spacing w:line="240" w:lineRule="exact"/>
              <w:ind w:firstLine="0" w:firstLineChars="0"/>
              <w:jc w:val="left"/>
              <w:rPr>
                <w:rFonts w:hint="eastAsia"/>
                <w:sz w:val="18"/>
                <w:szCs w:val="18"/>
              </w:rPr>
            </w:pPr>
            <w:r>
              <w:rPr>
                <w:rFonts w:hint="eastAsia"/>
                <w:sz w:val="18"/>
                <w:szCs w:val="18"/>
              </w:rPr>
              <w:t>掌指或近侧指间关节受累</w:t>
            </w:r>
          </w:p>
        </w:tc>
        <w:tc>
          <w:tcPr>
            <w:tcW w:w="1391" w:type="dxa"/>
            <w:tcBorders>
              <w:top w:val="nil"/>
              <w:left w:val="single" w:color="auto" w:sz="4" w:space="0"/>
              <w:bottom w:val="nil"/>
              <w:right w:val="nil"/>
            </w:tcBorders>
            <w:vAlign w:val="top"/>
          </w:tcPr>
          <w:p>
            <w:pPr>
              <w:pStyle w:val="10"/>
              <w:spacing w:line="240" w:lineRule="exact"/>
              <w:ind w:firstLine="0" w:firstLineChars="0"/>
              <w:jc w:val="center"/>
              <w:rPr>
                <w:rFonts w:hint="eastAsia"/>
                <w:sz w:val="18"/>
                <w:szCs w:val="18"/>
              </w:rPr>
            </w:pPr>
            <w:r>
              <w:rPr>
                <w:rFonts w:hint="eastAsia"/>
                <w:sz w:val="18"/>
                <w:szCs w:val="18"/>
              </w:rPr>
              <w:t>5</w:t>
            </w:r>
          </w:p>
        </w:tc>
        <w:tc>
          <w:tcPr>
            <w:tcW w:w="1849" w:type="dxa"/>
            <w:tcBorders>
              <w:top w:val="nil"/>
              <w:left w:val="nil"/>
              <w:bottom w:val="nil"/>
              <w:right w:val="nil"/>
            </w:tcBorders>
            <w:vAlign w:val="top"/>
          </w:tcPr>
          <w:p>
            <w:pPr>
              <w:pStyle w:val="10"/>
              <w:spacing w:line="240" w:lineRule="exact"/>
              <w:ind w:firstLine="0" w:firstLineChars="0"/>
              <w:jc w:val="center"/>
              <w:rPr>
                <w:rFonts w:hint="eastAsia"/>
                <w:sz w:val="18"/>
                <w:szCs w:val="18"/>
              </w:rPr>
            </w:pPr>
            <w:r>
              <w:rPr>
                <w:rFonts w:hint="eastAsia"/>
                <w:sz w:val="18"/>
                <w:szCs w:val="18"/>
              </w:rPr>
              <w:t>5</w:t>
            </w:r>
          </w:p>
        </w:tc>
        <w:tc>
          <w:tcPr>
            <w:tcW w:w="1705" w:type="dxa"/>
            <w:tcBorders>
              <w:top w:val="nil"/>
              <w:left w:val="nil"/>
              <w:bottom w:val="nil"/>
              <w:right w:val="nil"/>
            </w:tcBorders>
            <w:vAlign w:val="top"/>
          </w:tcPr>
          <w:p>
            <w:pPr>
              <w:pStyle w:val="10"/>
              <w:spacing w:line="240" w:lineRule="exact"/>
              <w:ind w:firstLine="0" w:firstLineChars="0"/>
              <w:jc w:val="center"/>
              <w:rPr>
                <w:rFonts w:hint="eastAsia"/>
                <w:sz w:val="18"/>
                <w:szCs w:val="18"/>
              </w:rPr>
            </w:pPr>
            <w:r>
              <w:rPr>
                <w:rFonts w:hint="eastAsia"/>
                <w:sz w:val="18"/>
                <w:szCs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Merge w:val="continue"/>
            <w:tcBorders>
              <w:top w:val="nil"/>
              <w:left w:val="nil"/>
              <w:bottom w:val="single" w:color="auto" w:sz="4" w:space="0"/>
              <w:right w:val="nil"/>
            </w:tcBorders>
            <w:shd w:val="clear" w:color="auto" w:fill="auto"/>
            <w:vAlign w:val="top"/>
          </w:tcPr>
          <w:p>
            <w:pPr>
              <w:pStyle w:val="10"/>
              <w:spacing w:line="240" w:lineRule="exact"/>
              <w:ind w:firstLine="0" w:firstLineChars="0"/>
              <w:jc w:val="center"/>
              <w:rPr>
                <w:rFonts w:hint="eastAsia"/>
                <w:sz w:val="18"/>
                <w:szCs w:val="18"/>
              </w:rPr>
            </w:pPr>
          </w:p>
        </w:tc>
        <w:tc>
          <w:tcPr>
            <w:tcW w:w="2760" w:type="dxa"/>
            <w:tcBorders>
              <w:top w:val="nil"/>
              <w:left w:val="nil"/>
              <w:bottom w:val="single" w:color="auto" w:sz="4" w:space="0"/>
              <w:right w:val="single" w:color="auto" w:sz="4" w:space="0"/>
            </w:tcBorders>
            <w:shd w:val="clear" w:color="auto" w:fill="auto"/>
            <w:vAlign w:val="top"/>
          </w:tcPr>
          <w:p>
            <w:pPr>
              <w:pStyle w:val="10"/>
              <w:spacing w:line="240" w:lineRule="exact"/>
              <w:ind w:firstLine="0" w:firstLineChars="0"/>
              <w:jc w:val="left"/>
              <w:rPr>
                <w:rFonts w:hint="eastAsia"/>
                <w:sz w:val="18"/>
                <w:szCs w:val="18"/>
              </w:rPr>
            </w:pPr>
            <w:r>
              <w:rPr>
                <w:rFonts w:hint="eastAsia"/>
                <w:sz w:val="18"/>
                <w:szCs w:val="18"/>
              </w:rPr>
              <w:t>远侧指间关节受累</w:t>
            </w:r>
          </w:p>
        </w:tc>
        <w:tc>
          <w:tcPr>
            <w:tcW w:w="1391" w:type="dxa"/>
            <w:tcBorders>
              <w:top w:val="nil"/>
              <w:left w:val="single" w:color="auto" w:sz="4" w:space="0"/>
              <w:bottom w:val="single" w:color="auto" w:sz="4" w:space="0"/>
              <w:right w:val="nil"/>
            </w:tcBorders>
            <w:shd w:val="clear" w:color="auto" w:fill="E0E0E0"/>
            <w:vAlign w:val="top"/>
          </w:tcPr>
          <w:p>
            <w:pPr>
              <w:pStyle w:val="10"/>
              <w:spacing w:line="240" w:lineRule="exact"/>
              <w:ind w:firstLine="0" w:firstLineChars="0"/>
              <w:jc w:val="center"/>
              <w:rPr>
                <w:rFonts w:hint="eastAsia"/>
                <w:sz w:val="18"/>
                <w:szCs w:val="18"/>
              </w:rPr>
            </w:pPr>
            <w:r>
              <w:rPr>
                <w:rFonts w:hint="eastAsia"/>
                <w:sz w:val="18"/>
                <w:szCs w:val="18"/>
              </w:rPr>
              <w:t>0</w:t>
            </w:r>
          </w:p>
        </w:tc>
        <w:tc>
          <w:tcPr>
            <w:tcW w:w="1849" w:type="dxa"/>
            <w:tcBorders>
              <w:top w:val="nil"/>
              <w:left w:val="nil"/>
              <w:bottom w:val="single" w:color="auto" w:sz="4" w:space="0"/>
              <w:right w:val="nil"/>
            </w:tcBorders>
            <w:shd w:val="clear" w:color="auto" w:fill="E0E0E0"/>
            <w:vAlign w:val="top"/>
          </w:tcPr>
          <w:p>
            <w:pPr>
              <w:pStyle w:val="10"/>
              <w:spacing w:line="240" w:lineRule="exact"/>
              <w:ind w:firstLine="0" w:firstLineChars="0"/>
              <w:jc w:val="center"/>
              <w:rPr>
                <w:rFonts w:hint="eastAsia"/>
                <w:sz w:val="18"/>
                <w:szCs w:val="18"/>
              </w:rPr>
            </w:pPr>
            <w:r>
              <w:rPr>
                <w:rFonts w:hint="eastAsia"/>
                <w:sz w:val="18"/>
                <w:szCs w:val="18"/>
              </w:rPr>
              <w:t>0</w:t>
            </w:r>
          </w:p>
        </w:tc>
        <w:tc>
          <w:tcPr>
            <w:tcW w:w="1705" w:type="dxa"/>
            <w:tcBorders>
              <w:top w:val="nil"/>
              <w:left w:val="nil"/>
              <w:bottom w:val="single" w:color="auto" w:sz="4" w:space="0"/>
              <w:right w:val="nil"/>
            </w:tcBorders>
            <w:shd w:val="clear" w:color="auto" w:fill="E0E0E0"/>
            <w:vAlign w:val="top"/>
          </w:tcPr>
          <w:p>
            <w:pPr>
              <w:pStyle w:val="10"/>
              <w:spacing w:line="240" w:lineRule="exact"/>
              <w:ind w:firstLine="0" w:firstLineChars="0"/>
              <w:jc w:val="center"/>
              <w:rPr>
                <w:rFonts w:hint="eastAsia"/>
                <w:sz w:val="18"/>
                <w:szCs w:val="18"/>
              </w:rPr>
            </w:pPr>
            <w:r>
              <w:rPr>
                <w:rFonts w:hint="eastAsia"/>
                <w:sz w:val="18"/>
                <w:szCs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Borders>
              <w:top w:val="single" w:color="auto" w:sz="4" w:space="0"/>
              <w:left w:val="nil"/>
              <w:bottom w:val="single" w:color="auto" w:sz="4" w:space="0"/>
              <w:right w:val="nil"/>
            </w:tcBorders>
            <w:vAlign w:val="top"/>
          </w:tcPr>
          <w:p>
            <w:pPr>
              <w:pStyle w:val="10"/>
              <w:spacing w:line="240" w:lineRule="exact"/>
              <w:ind w:firstLine="0" w:firstLineChars="0"/>
              <w:jc w:val="center"/>
              <w:rPr>
                <w:rFonts w:hint="eastAsia"/>
                <w:sz w:val="18"/>
                <w:szCs w:val="18"/>
              </w:rPr>
            </w:pPr>
            <w:r>
              <w:rPr>
                <w:rFonts w:hint="eastAsia"/>
                <w:sz w:val="18"/>
                <w:szCs w:val="18"/>
              </w:rPr>
              <w:t>腕关节</w:t>
            </w:r>
          </w:p>
        </w:tc>
        <w:tc>
          <w:tcPr>
            <w:tcW w:w="2760" w:type="dxa"/>
            <w:tcBorders>
              <w:top w:val="single" w:color="auto" w:sz="4" w:space="0"/>
              <w:left w:val="nil"/>
              <w:bottom w:val="single" w:color="auto" w:sz="4" w:space="0"/>
              <w:right w:val="single" w:color="auto" w:sz="4" w:space="0"/>
            </w:tcBorders>
            <w:vAlign w:val="top"/>
          </w:tcPr>
          <w:p>
            <w:pPr>
              <w:pStyle w:val="10"/>
              <w:spacing w:line="240" w:lineRule="exact"/>
              <w:ind w:firstLine="0" w:firstLineChars="0"/>
              <w:jc w:val="left"/>
              <w:rPr>
                <w:rFonts w:hint="eastAsia"/>
                <w:sz w:val="18"/>
                <w:szCs w:val="18"/>
              </w:rPr>
            </w:pPr>
            <w:r>
              <w:rPr>
                <w:rFonts w:hint="eastAsia"/>
                <w:sz w:val="18"/>
                <w:szCs w:val="18"/>
              </w:rPr>
              <w:t>手功能大部分丧失时腕关节受累</w:t>
            </w:r>
          </w:p>
        </w:tc>
        <w:tc>
          <w:tcPr>
            <w:tcW w:w="1391" w:type="dxa"/>
            <w:tcBorders>
              <w:top w:val="single" w:color="auto" w:sz="4" w:space="0"/>
              <w:left w:val="single" w:color="auto" w:sz="4" w:space="0"/>
              <w:bottom w:val="single" w:color="auto" w:sz="4" w:space="0"/>
              <w:right w:val="nil"/>
            </w:tcBorders>
            <w:vAlign w:val="top"/>
          </w:tcPr>
          <w:p>
            <w:pPr>
              <w:pStyle w:val="10"/>
              <w:spacing w:line="240" w:lineRule="exact"/>
              <w:ind w:firstLine="0" w:firstLineChars="0"/>
              <w:jc w:val="center"/>
              <w:rPr>
                <w:rFonts w:hint="eastAsia"/>
                <w:sz w:val="18"/>
                <w:szCs w:val="18"/>
              </w:rPr>
            </w:pPr>
            <w:r>
              <w:rPr>
                <w:rFonts w:hint="eastAsia"/>
                <w:sz w:val="18"/>
                <w:szCs w:val="18"/>
              </w:rPr>
              <w:t>10</w:t>
            </w:r>
          </w:p>
        </w:tc>
        <w:tc>
          <w:tcPr>
            <w:tcW w:w="1849" w:type="dxa"/>
            <w:tcBorders>
              <w:top w:val="single" w:color="auto" w:sz="4" w:space="0"/>
              <w:left w:val="nil"/>
              <w:bottom w:val="single" w:color="auto" w:sz="4" w:space="0"/>
              <w:right w:val="nil"/>
            </w:tcBorders>
            <w:vAlign w:val="top"/>
          </w:tcPr>
          <w:p>
            <w:pPr>
              <w:pStyle w:val="10"/>
              <w:spacing w:line="240" w:lineRule="exact"/>
              <w:ind w:firstLine="0" w:firstLineChars="0"/>
              <w:jc w:val="center"/>
              <w:rPr>
                <w:rFonts w:hint="eastAsia"/>
                <w:sz w:val="18"/>
                <w:szCs w:val="18"/>
              </w:rPr>
            </w:pPr>
            <w:r>
              <w:rPr>
                <w:rFonts w:hint="eastAsia"/>
                <w:sz w:val="18"/>
                <w:szCs w:val="18"/>
              </w:rPr>
              <w:t>5</w:t>
            </w:r>
          </w:p>
        </w:tc>
        <w:tc>
          <w:tcPr>
            <w:tcW w:w="1705" w:type="dxa"/>
            <w:tcBorders>
              <w:top w:val="single" w:color="auto" w:sz="4" w:space="0"/>
              <w:left w:val="nil"/>
              <w:bottom w:val="single" w:color="auto" w:sz="4" w:space="0"/>
              <w:right w:val="nil"/>
            </w:tcBorders>
            <w:vAlign w:val="top"/>
          </w:tcPr>
          <w:p>
            <w:pPr>
              <w:pStyle w:val="10"/>
              <w:spacing w:line="240" w:lineRule="exact"/>
              <w:ind w:firstLine="0" w:firstLineChars="0"/>
              <w:jc w:val="center"/>
              <w:rPr>
                <w:rFonts w:hint="eastAsia"/>
                <w:sz w:val="18"/>
                <w:szCs w:val="18"/>
              </w:rPr>
            </w:pPr>
            <w:r>
              <w:rPr>
                <w:rFonts w:hint="eastAsia"/>
                <w:sz w:val="18"/>
                <w:szCs w:val="18"/>
              </w:rPr>
              <w:t>0</w:t>
            </w:r>
          </w:p>
        </w:tc>
      </w:tr>
    </w:tbl>
    <w:p>
      <w:pPr>
        <w:pStyle w:val="10"/>
        <w:spacing w:line="240" w:lineRule="exact"/>
        <w:ind w:firstLine="360"/>
        <w:rPr>
          <w:rFonts w:hint="eastAsia" w:ascii="华文楷体" w:hAnsi="华文楷体" w:eastAsia="华文楷体"/>
          <w:sz w:val="18"/>
          <w:szCs w:val="18"/>
        </w:rPr>
      </w:pPr>
      <w:r>
        <w:rPr>
          <w:rFonts w:hint="eastAsia" w:ascii="华文楷体" w:hAnsi="华文楷体" w:eastAsia="华文楷体"/>
          <w:sz w:val="18"/>
          <w:szCs w:val="18"/>
        </w:rPr>
        <w:t>注1：单手、单足部分缺失及功能障碍定级说明：（1）手、足缺失及功能障碍量化图表不能代替标准具体残级条款，条款中有列举的伤情应优先依据相应条款确定残级，只有在现有残级条款未能列举具体致残程度等级的情况下，可以参照本图表量化评估定级；（2）图C-1中将每一手指划分为远、中、近三个区域，依据各部位功能重要性赋予不同分值。手部分缺失离断的各种情形可按不同区域分值累计相加，参考定级。图C-2使用方法同图C-1；（3）表C-10按手指各关节及腕关节功能障碍的不同程度分别赋予不同分值，各种手功能障碍的情形或合并手部分缺失的致残程度情形均可按对应分值累计相加。</w:t>
      </w:r>
    </w:p>
    <w:p>
      <w:pPr>
        <w:pStyle w:val="10"/>
        <w:spacing w:line="240" w:lineRule="exact"/>
        <w:ind w:firstLine="360"/>
        <w:rPr>
          <w:rFonts w:hint="eastAsia" w:ascii="华文楷体" w:hAnsi="华文楷体" w:eastAsia="华文楷体"/>
          <w:sz w:val="18"/>
          <w:szCs w:val="18"/>
        </w:rPr>
      </w:pPr>
      <w:r>
        <w:rPr>
          <w:rFonts w:hint="eastAsia" w:ascii="华文楷体" w:hAnsi="华文楷体" w:eastAsia="华文楷体"/>
          <w:sz w:val="18"/>
          <w:szCs w:val="18"/>
        </w:rPr>
        <w:t>注2：双手部分缺失及功能障碍定级说明：双手功能损伤，按双手分值加权累计定级。设一手功能为100分，双手总分为200分。设分值较高一手分值为A，分值较低一手分值为B，最终双手计分为：A+B×（200-A）/200。</w:t>
      </w:r>
    </w:p>
    <w:p>
      <w:pPr>
        <w:pStyle w:val="10"/>
        <w:spacing w:line="240" w:lineRule="exact"/>
        <w:ind w:firstLine="360"/>
        <w:rPr>
          <w:rFonts w:ascii="华文楷体" w:hAnsi="华文楷体" w:eastAsia="华文楷体"/>
          <w:sz w:val="18"/>
          <w:szCs w:val="18"/>
        </w:rPr>
      </w:pPr>
      <w:r>
        <w:rPr>
          <w:rFonts w:hint="eastAsia" w:ascii="华文楷体" w:hAnsi="华文楷体" w:eastAsia="华文楷体"/>
          <w:sz w:val="18"/>
          <w:szCs w:val="18"/>
        </w:rPr>
        <w:t>注3：双足部分缺失定级说明：双足功能损伤，按双足分值加权累计定级。设一足功能为75分，双足总分为150分。设分值较高一足分值为A，分值较低一足分值为B，最终双足计分为：A+B×（150-A）/150。</w:t>
      </w:r>
    </w:p>
    <w:p>
      <w:pPr/>
    </w:p>
    <w:sectPr>
      <w:footerReference r:id="rId3" w:type="default"/>
      <w:pgSz w:w="11906" w:h="16838"/>
      <w:pgMar w:top="1134" w:right="1134" w:bottom="1134" w:left="1134" w:header="851" w:footer="992" w:gutter="567"/>
      <w:pgNumType w:fmt="numberInDash"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黑体">
    <w:panose1 w:val="02010600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- 24 -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path/>
              <v:fill on="f" focussize="0,0"/>
              <v:stroke on="f"/>
              <v:imagedata o:title=""/>
              <o:lock v:ext="edit" grouping="f" rotation="f" text="f" aspectratio="f"/>
              <v:textbox inset="0mm,0mm,0mm,0mm" style="mso-fit-shape-to-text:t;">
                <w:txbxContent>
                  <w:p>
                    <w:pPr>
                      <w:pStyle w:val="3"/>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- 24 -</w:t>
                    </w:r>
                    <w:r>
                      <w:rPr>
                        <w:rFonts w:ascii="宋体" w:hAnsi="宋体"/>
                        <w:sz w:val="28"/>
                        <w:szCs w:val="28"/>
                      </w:rPr>
                      <w:fldChar w:fldCharType="end"/>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pStyle w:val="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1"/>
      <w:suff w:val="nothing"/>
      <w:lvlText w:val="%1.%2　"/>
      <w:lvlJc w:val="left"/>
      <w:pPr>
        <w:ind w:left="945"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2"/>
      <w:suff w:val="nothing"/>
      <w:lvlText w:val="%1.%2.%3　"/>
      <w:lvlJc w:val="left"/>
      <w:pPr>
        <w:ind w:left="5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4C50F90"/>
    <w:multiLevelType w:val="multilevel"/>
    <w:tmpl w:val="44C50F90"/>
    <w:lvl w:ilvl="0" w:tentative="0">
      <w:start w:val="1"/>
      <w:numFmt w:val="lowerLetter"/>
      <w:pStyle w:val="16"/>
      <w:lvlText w:val="%1)"/>
      <w:lvlJc w:val="left"/>
      <w:pPr>
        <w:tabs>
          <w:tab w:val="left" w:pos="839"/>
        </w:tabs>
        <w:ind w:left="839" w:hanging="419"/>
      </w:pPr>
      <w:rPr>
        <w:rFonts w:hint="eastAsia"/>
        <w:b w:val="0"/>
        <w:i w:val="0"/>
        <w:sz w:val="20"/>
        <w:szCs w:val="21"/>
      </w:rPr>
    </w:lvl>
    <w:lvl w:ilvl="1" w:tentative="0">
      <w:start w:val="1"/>
      <w:numFmt w:val="decimal"/>
      <w:pStyle w:val="13"/>
      <w:lvlText w:val="%2)"/>
      <w:lvlJc w:val="left"/>
      <w:pPr>
        <w:tabs>
          <w:tab w:val="left" w:pos="1130"/>
        </w:tabs>
        <w:ind w:left="1130" w:hanging="420"/>
      </w:pPr>
      <w:rPr>
        <w:rFonts w:hint="eastAsia"/>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2">
    <w:nsid w:val="562E33BF"/>
    <w:multiLevelType w:val="singleLevel"/>
    <w:tmpl w:val="562E33BF"/>
    <w:lvl w:ilvl="0" w:tentative="0">
      <w:start w:val="1"/>
      <w:numFmt w:val="lowerLetter"/>
      <w:suff w:val="space"/>
      <w:lvlText w:val="%1)"/>
      <w:lvlJc w:val="left"/>
    </w:lvl>
  </w:abstractNum>
  <w:abstractNum w:abstractNumId="3">
    <w:nsid w:val="5D2C3B26"/>
    <w:multiLevelType w:val="multilevel"/>
    <w:tmpl w:val="5D2C3B26"/>
    <w:lvl w:ilvl="0" w:tentative="0">
      <w:start w:val="1"/>
      <w:numFmt w:val="lowerLetter"/>
      <w:lvlText w:val="%1)"/>
      <w:lvlJc w:val="left"/>
      <w:pPr>
        <w:tabs>
          <w:tab w:val="left" w:pos="839"/>
        </w:tabs>
        <w:ind w:left="839" w:hanging="419"/>
      </w:pPr>
      <w:rPr>
        <w:rFonts w:hint="eastAsia"/>
        <w:b w:val="0"/>
        <w:i w:val="0"/>
        <w:sz w:val="20"/>
        <w:szCs w:val="21"/>
      </w:rPr>
    </w:lvl>
    <w:lvl w:ilvl="1" w:tentative="0">
      <w:start w:val="1"/>
      <w:numFmt w:val="decimal"/>
      <w:lvlText w:val="%2)"/>
      <w:lvlJc w:val="left"/>
      <w:pPr>
        <w:tabs>
          <w:tab w:val="left" w:pos="1130"/>
        </w:tabs>
        <w:ind w:left="1130" w:hanging="420"/>
      </w:p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4">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21"/>
      <w:suff w:val="nothing"/>
      <w:lvlText w:val="表%1.%2　"/>
      <w:lvlJc w:val="left"/>
      <w:pPr>
        <w:ind w:left="2772"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5">
    <w:nsid w:val="657D3FBC"/>
    <w:multiLevelType w:val="multilevel"/>
    <w:tmpl w:val="657D3FBC"/>
    <w:lvl w:ilvl="0" w:tentative="0">
      <w:start w:val="1"/>
      <w:numFmt w:val="upperLetter"/>
      <w:pStyle w:val="14"/>
      <w:suff w:val="nothing"/>
      <w:lvlText w:val="附　录　%1"/>
      <w:lvlJc w:val="left"/>
      <w:pPr>
        <w:ind w:left="3828" w:firstLine="0"/>
      </w:pPr>
    </w:lvl>
    <w:lvl w:ilvl="1" w:tentative="0">
      <w:start w:val="1"/>
      <w:numFmt w:val="decimal"/>
      <w:pStyle w:val="15"/>
      <w:suff w:val="nothing"/>
      <w:lvlText w:val="%1.%2　"/>
      <w:lvlJc w:val="left"/>
      <w:pPr>
        <w:ind w:left="525" w:firstLine="0"/>
      </w:pPr>
    </w:lvl>
    <w:lvl w:ilvl="2" w:tentative="0">
      <w:start w:val="1"/>
      <w:numFmt w:val="decimal"/>
      <w:pStyle w:val="18"/>
      <w:suff w:val="nothing"/>
      <w:lvlText w:val="%1.%2.%3　"/>
      <w:lvlJc w:val="left"/>
      <w:pPr>
        <w:ind w:left="0" w:firstLine="0"/>
      </w:pPr>
    </w:lvl>
    <w:lvl w:ilvl="3" w:tentative="0">
      <w:start w:val="1"/>
      <w:numFmt w:val="decimal"/>
      <w:suff w:val="nothing"/>
      <w:lvlText w:val="%1.%2.%3.%4　"/>
      <w:lvlJc w:val="left"/>
      <w:pPr>
        <w:ind w:left="84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6D6C07CD"/>
    <w:multiLevelType w:val="multilevel"/>
    <w:tmpl w:val="6D6C07CD"/>
    <w:lvl w:ilvl="0" w:tentative="0">
      <w:start w:val="1"/>
      <w:numFmt w:val="lowerLetter"/>
      <w:pStyle w:val="17"/>
      <w:lvlText w:val="%1)"/>
      <w:lvlJc w:val="left"/>
      <w:pPr>
        <w:tabs>
          <w:tab w:val="left" w:pos="839"/>
        </w:tabs>
        <w:ind w:left="839" w:hanging="419"/>
      </w:pPr>
      <w:rPr>
        <w:rFonts w:hint="eastAsia" w:ascii="宋体" w:eastAsia="宋体"/>
        <w:b w:val="0"/>
        <w:i w:val="0"/>
        <w:sz w:val="21"/>
      </w:rPr>
    </w:lvl>
    <w:lvl w:ilvl="1" w:tentative="0">
      <w:start w:val="1"/>
      <w:numFmt w:val="decimal"/>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0"/>
  </w:num>
  <w:num w:numId="2">
    <w:abstractNumId w:val="1"/>
  </w:num>
  <w:num w:numId="3">
    <w:abstractNumId w:val="5"/>
  </w:num>
  <w:num w:numId="4">
    <w:abstractNumId w:val="6"/>
  </w:num>
  <w:num w:numId="5">
    <w:abstractNumId w:val="4"/>
  </w:num>
  <w:num w:numId="6">
    <w:abstractNumId w:val="1"/>
    <w:lvlOverride w:ilvl="1">
      <w:startOverride w:val="1"/>
    </w:lvlOverride>
  </w:num>
  <w:num w:numId="7">
    <w:abstractNumId w:val="1"/>
    <w:lvlOverride w:ilvl="1">
      <w:startOverride w:val="1"/>
    </w:lvlOverride>
  </w:num>
  <w:num w:numId="8">
    <w:abstractNumId w:val="1"/>
    <w:lvlOverride w:ilvl="1">
      <w:startOverride w:val="1"/>
    </w:lvlOverride>
  </w:num>
  <w:num w:numId="9">
    <w:abstractNumId w:val="1"/>
    <w:lvlOverride w:ilvl="1">
      <w:startOverride w:val="1"/>
    </w:lvlOverride>
  </w:num>
  <w:num w:numId="10">
    <w:abstractNumId w:val="1"/>
    <w:lvlOverride w:ilvl="1">
      <w:startOverride w:val="1"/>
    </w:lvlOverride>
  </w:num>
  <w:num w:numId="11">
    <w:abstractNumId w:val="1"/>
    <w:lvlOverride w:ilvl="1">
      <w:startOverride w:val="1"/>
    </w:lvlOverride>
  </w:num>
  <w:num w:numId="12">
    <w:abstractNumId w:val="1"/>
    <w:lvlOverride w:ilvl="1">
      <w:startOverride w:val="1"/>
    </w:lvlOverride>
  </w:num>
  <w:num w:numId="13">
    <w:abstractNumId w:val="1"/>
    <w:lvlOverride w:ilvl="1">
      <w:startOverride w:val="1"/>
    </w:lvlOverride>
  </w:num>
  <w:num w:numId="14">
    <w:abstractNumId w:val="1"/>
    <w:lvlOverride w:ilvl="1">
      <w:startOverride w:val="1"/>
    </w:lvlOverride>
  </w:num>
  <w:num w:numId="15">
    <w:abstractNumId w:val="1"/>
    <w:lvlOverride w:ilvl="1">
      <w:startOverride w:val="1"/>
    </w:lvlOverride>
  </w:num>
  <w:num w:numId="16">
    <w:abstractNumId w:val="1"/>
    <w:lvlOverride w:ilvl="1">
      <w:startOverride w:val="1"/>
    </w:lvlOverride>
  </w:num>
  <w:num w:numId="17">
    <w:abstractNumId w:val="1"/>
    <w:lvlOverride w:ilvl="1">
      <w:startOverride w:val="1"/>
    </w:lvlOverride>
  </w:num>
  <w:num w:numId="18">
    <w:abstractNumId w:val="1"/>
    <w:lvlOverride w:ilvl="1">
      <w:startOverride w:val="1"/>
    </w:lvlOverride>
  </w:num>
  <w:num w:numId="19">
    <w:abstractNumId w:val="1"/>
    <w:lvlOverride w:ilvl="1">
      <w:startOverride w:val="1"/>
    </w:lvlOverride>
  </w:num>
  <w:num w:numId="20">
    <w:abstractNumId w:val="1"/>
    <w:lvlOverride w:ilvl="1">
      <w:startOverride w:val="1"/>
    </w:lvlOverride>
  </w:num>
  <w:num w:numId="21">
    <w:abstractNumId w:val="1"/>
    <w:lvlOverride w:ilvl="1">
      <w:startOverride w:val="1"/>
    </w:lvlOverride>
  </w:num>
  <w:num w:numId="22">
    <w:abstractNumId w:val="1"/>
    <w:lvlOverride w:ilvl="1">
      <w:startOverride w:val="1"/>
    </w:lvlOverride>
  </w:num>
  <w:num w:numId="23">
    <w:abstractNumId w:val="1"/>
    <w:lvlOverride w:ilvl="1">
      <w:startOverride w:val="1"/>
    </w:lvlOverride>
  </w:num>
  <w:num w:numId="24">
    <w:abstractNumId w:val="1"/>
    <w:lvlOverride w:ilvl="1">
      <w:startOverride w:val="1"/>
    </w:lvlOverride>
  </w:num>
  <w:num w:numId="25">
    <w:abstractNumId w:val="1"/>
    <w:lvlOverride w:ilvl="1">
      <w:startOverride w:val="1"/>
    </w:lvlOverride>
  </w:num>
  <w:num w:numId="26">
    <w:abstractNumId w:val="1"/>
    <w:lvlOverride w:ilvl="1">
      <w:startOverride w:val="1"/>
    </w:lvlOverride>
  </w:num>
  <w:num w:numId="27">
    <w:abstractNumId w:val="1"/>
    <w:lvlOverride w:ilvl="1">
      <w:startOverride w:val="1"/>
    </w:lvlOverride>
  </w:num>
  <w:num w:numId="28">
    <w:abstractNumId w:val="1"/>
    <w:lvlOverride w:ilvl="1">
      <w:startOverride w:val="1"/>
    </w:lvlOverride>
  </w:num>
  <w:num w:numId="29">
    <w:abstractNumId w:val="1"/>
    <w:lvlOverride w:ilvl="1">
      <w:startOverride w:val="1"/>
    </w:lvlOverride>
  </w:num>
  <w:num w:numId="30">
    <w:abstractNumId w:val="1"/>
    <w:lvlOverride w:ilvl="1">
      <w:startOverride w:val="1"/>
    </w:lvlOverride>
  </w:num>
  <w:num w:numId="31">
    <w:abstractNumId w:val="1"/>
    <w:lvlOverride w:ilvl="1">
      <w:startOverride w:val="1"/>
    </w:lvlOverride>
  </w:num>
  <w:num w:numId="32">
    <w:abstractNumId w:val="1"/>
    <w:lvlOverride w:ilvl="1">
      <w:startOverride w:val="1"/>
    </w:lvlOverride>
  </w:num>
  <w:num w:numId="33">
    <w:abstractNumId w:val="1"/>
    <w:lvlOverride w:ilvl="1">
      <w:startOverride w:val="1"/>
    </w:lvlOverride>
  </w:num>
  <w:num w:numId="34">
    <w:abstractNumId w:val="1"/>
    <w:lvlOverride w:ilvl="1">
      <w:startOverride w:val="1"/>
    </w:lvlOverride>
  </w:num>
  <w:num w:numId="35">
    <w:abstractNumId w:val="1"/>
    <w:lvlOverride w:ilvl="1">
      <w:startOverride w:val="1"/>
    </w:lvlOverride>
  </w:num>
  <w:num w:numId="36">
    <w:abstractNumId w:val="1"/>
    <w:lvlOverride w:ilvl="1">
      <w:startOverride w:val="1"/>
    </w:lvlOverride>
  </w:num>
  <w:num w:numId="37">
    <w:abstractNumId w:val="1"/>
    <w:lvlOverride w:ilvl="1">
      <w:startOverride w:val="1"/>
    </w:lvlOverride>
  </w:num>
  <w:num w:numId="38">
    <w:abstractNumId w:val="1"/>
    <w:lvlOverride w:ilvl="1">
      <w:startOverride w:val="1"/>
    </w:lvlOverride>
  </w:num>
  <w:num w:numId="39">
    <w:abstractNumId w:val="1"/>
    <w:lvlOverride w:ilvl="1">
      <w:startOverride w:val="1"/>
    </w:lvlOverride>
  </w:num>
  <w:num w:numId="40">
    <w:abstractNumId w:val="1"/>
    <w:lvlOverride w:ilvl="1">
      <w:startOverride w:val="1"/>
    </w:lvlOverride>
  </w:num>
  <w:num w:numId="41">
    <w:abstractNumId w:val="1"/>
    <w:lvlOverride w:ilvl="1">
      <w:startOverride w:val="1"/>
    </w:lvlOverride>
  </w:num>
  <w:num w:numId="42">
    <w:abstractNumId w:val="1"/>
    <w:lvlOverride w:ilvl="1">
      <w:startOverride w:val="1"/>
    </w:lvlOverride>
  </w:num>
  <w:num w:numId="43">
    <w:abstractNumId w:val="1"/>
    <w:lvlOverride w:ilvl="1">
      <w:startOverride w:val="1"/>
    </w:lvlOverride>
  </w:num>
  <w:num w:numId="44">
    <w:abstractNumId w:val="1"/>
    <w:lvlOverride w:ilvl="1">
      <w:startOverride w:val="1"/>
    </w:lvlOverride>
  </w:num>
  <w:num w:numId="45">
    <w:abstractNumId w:val="1"/>
    <w:lvlOverride w:ilvl="1">
      <w:startOverride w:val="1"/>
    </w:lvlOverride>
  </w:num>
  <w:num w:numId="46">
    <w:abstractNumId w:val="1"/>
    <w:lvlOverride w:ilvl="1">
      <w:startOverride w:val="1"/>
    </w:lvlOverride>
  </w:num>
  <w:num w:numId="47">
    <w:abstractNumId w:val="1"/>
    <w:lvlOverride w:ilvl="1">
      <w:startOverride w:val="1"/>
    </w:lvlOverride>
  </w:num>
  <w:num w:numId="48">
    <w:abstractNumId w:val="1"/>
    <w:lvlOverride w:ilvl="1">
      <w:startOverride w:val="1"/>
    </w:lvlOverride>
  </w:num>
  <w:num w:numId="49">
    <w:abstractNumId w:val="1"/>
    <w:lvlOverride w:ilvl="1">
      <w:startOverride w:val="1"/>
    </w:lvlOverride>
  </w:num>
  <w:num w:numId="50">
    <w:abstractNumId w:val="1"/>
    <w:lvlOverride w:ilvl="1">
      <w:startOverride w:val="1"/>
    </w:lvlOverride>
  </w:num>
  <w:num w:numId="51">
    <w:abstractNumId w:val="1"/>
    <w:lvlOverride w:ilvl="1">
      <w:startOverride w:val="1"/>
    </w:lvlOverride>
  </w:num>
  <w:num w:numId="52">
    <w:abstractNumId w:val="1"/>
    <w:lvlOverride w:ilvl="1">
      <w:startOverride w:val="1"/>
    </w:lvlOverride>
  </w:num>
  <w:num w:numId="53">
    <w:abstractNumId w:val="1"/>
    <w:lvlOverride w:ilvl="1">
      <w:startOverride w:val="1"/>
    </w:lvlOverride>
  </w:num>
  <w:num w:numId="54">
    <w:abstractNumId w:val="1"/>
    <w:lvlOverride w:ilvl="1">
      <w:startOverride w:val="1"/>
    </w:lvlOverride>
  </w:num>
  <w:num w:numId="55">
    <w:abstractNumId w:val="1"/>
    <w:lvlOverride w:ilvl="1">
      <w:startOverride w:val="1"/>
    </w:lvlOverride>
  </w:num>
  <w:num w:numId="56">
    <w:abstractNumId w:val="1"/>
    <w:lvlOverride w:ilvl="1">
      <w:startOverride w:val="1"/>
    </w:lvlOverride>
  </w:num>
  <w:num w:numId="57">
    <w:abstractNumId w:val="1"/>
    <w:lvlOverride w:ilvl="1">
      <w:startOverride w:val="1"/>
    </w:lvlOverride>
  </w:num>
  <w:num w:numId="58">
    <w:abstractNumId w:val="1"/>
    <w:lvlOverride w:ilvl="1">
      <w:startOverride w:val="1"/>
    </w:lvlOverride>
  </w:num>
  <w:num w:numId="59">
    <w:abstractNumId w:val="1"/>
    <w:lvlOverride w:ilvl="1">
      <w:startOverride w:val="1"/>
    </w:lvlOverride>
  </w:num>
  <w:num w:numId="60">
    <w:abstractNumId w:val="1"/>
    <w:lvlOverride w:ilvl="1">
      <w:startOverride w:val="1"/>
    </w:lvlOverride>
  </w:num>
  <w:num w:numId="61">
    <w:abstractNumId w:val="1"/>
    <w:lvlOverride w:ilvl="1">
      <w:startOverride w:val="1"/>
    </w:lvlOverride>
  </w:num>
  <w:num w:numId="62">
    <w:abstractNumId w:val="1"/>
    <w:lvlOverride w:ilvl="1">
      <w:startOverride w:val="1"/>
    </w:lvlOverride>
  </w:num>
  <w:num w:numId="63">
    <w:abstractNumId w:val="1"/>
    <w:lvlOverride w:ilvl="1">
      <w:startOverride w:val="1"/>
    </w:lvlOverride>
  </w:num>
  <w:num w:numId="64">
    <w:abstractNumId w:val="1"/>
    <w:lvlOverride w:ilvl="1">
      <w:startOverride w:val="1"/>
    </w:lvlOverride>
  </w:num>
  <w:num w:numId="65">
    <w:abstractNumId w:val="1"/>
    <w:lvlOverride w:ilvl="1">
      <w:startOverride w:val="1"/>
    </w:lvlOverride>
  </w:num>
  <w:num w:numId="66">
    <w:abstractNumId w:val="1"/>
    <w:lvlOverride w:ilvl="1">
      <w:startOverride w:val="1"/>
    </w:lvlOverride>
  </w:num>
  <w:num w:numId="67">
    <w:abstractNumId w:val="1"/>
    <w:lvlOverride w:ilvl="1">
      <w:startOverride w:val="1"/>
    </w:lvlOverride>
  </w:num>
  <w:num w:numId="68">
    <w:abstractNumId w:val="1"/>
    <w:lvlOverride w:ilvl="0">
      <w:startOverride w:val="1"/>
    </w:lvlOverride>
  </w:num>
  <w:num w:numId="69">
    <w:abstractNumId w:val="1"/>
    <w:lvlOverride w:ilvl="0">
      <w:startOverride w:val="1"/>
    </w:lvlOverride>
  </w:num>
  <w:num w:numId="70">
    <w:abstractNumId w:val="1"/>
    <w:lvlOverride w:ilvl="0">
      <w:startOverride w:val="1"/>
    </w:lvlOverride>
  </w:num>
  <w:num w:numId="71">
    <w:abstractNumId w:val="1"/>
    <w:lvlOverride w:ilvl="0">
      <w:startOverride w:val="1"/>
    </w:lvlOverride>
  </w:num>
  <w:num w:numId="72">
    <w:abstractNumId w:val="1"/>
    <w:lvlOverride w:ilvl="0">
      <w:startOverride w:val="1"/>
    </w:lvlOverride>
  </w:num>
  <w:num w:numId="73">
    <w:abstractNumId w:val="1"/>
    <w:lvlOverride w:ilvl="0">
      <w:startOverride w:val="1"/>
    </w:lvlOverride>
  </w:num>
  <w:num w:numId="74">
    <w:abstractNumId w:val="1"/>
    <w:lvlOverride w:ilvl="0">
      <w:startOverride w:val="1"/>
    </w:lvlOverride>
  </w:num>
  <w:num w:numId="75">
    <w:abstractNumId w:val="1"/>
    <w:lvlOverride w:ilvl="0">
      <w:startOverride w:val="1"/>
    </w:lvlOverride>
  </w:num>
  <w:num w:numId="76">
    <w:abstractNumId w:val="1"/>
    <w:lvlOverride w:ilvl="0">
      <w:startOverride w:val="1"/>
    </w:lvlOverride>
  </w:num>
  <w:num w:numId="77">
    <w:abstractNumId w:val="1"/>
    <w:lvlOverride w:ilvl="0">
      <w:startOverride w:val="1"/>
    </w:lvlOverride>
  </w:num>
  <w:num w:numId="78">
    <w:abstractNumId w:val="1"/>
    <w:lvlOverride w:ilvl="0">
      <w:startOverride w:val="1"/>
    </w:lvlOverride>
  </w:num>
  <w:num w:numId="79">
    <w:abstractNumId w:val="1"/>
    <w:lvlOverride w:ilvl="0">
      <w:startOverride w:val="1"/>
    </w:lvlOverride>
  </w:num>
  <w:num w:numId="80">
    <w:abstractNumId w:val="1"/>
    <w:lvlOverride w:ilvl="0">
      <w:startOverride w:val="1"/>
    </w:lvlOverride>
  </w:num>
  <w:num w:numId="81">
    <w:abstractNumId w:val="1"/>
    <w:lvlOverride w:ilvl="0">
      <w:startOverride w:val="1"/>
    </w:lvlOverride>
  </w:num>
  <w:num w:numId="82">
    <w:abstractNumId w:val="1"/>
    <w:lvlOverride w:ilvl="0">
      <w:startOverride w:val="1"/>
    </w:lvlOverride>
  </w:num>
  <w:num w:numId="83">
    <w:abstractNumId w:val="1"/>
    <w:lvlOverride w:ilvl="0">
      <w:startOverride w:val="1"/>
    </w:lvlOverride>
  </w:num>
  <w:num w:numId="84">
    <w:abstractNumId w:val="1"/>
    <w:lvlOverride w:ilvl="0">
      <w:startOverride w:val="1"/>
    </w:lvlOverride>
  </w:num>
  <w:num w:numId="85">
    <w:abstractNumId w:val="1"/>
    <w:lvlOverride w:ilvl="0">
      <w:startOverride w:val="1"/>
    </w:lvlOverride>
  </w:num>
  <w:num w:numId="86">
    <w:abstractNumId w:val="1"/>
    <w:lvlOverride w:ilvl="0">
      <w:startOverride w:val="1"/>
    </w:lvlOverride>
  </w:num>
  <w:num w:numId="87">
    <w:abstractNumId w:val="1"/>
    <w:lvlOverride w:ilvl="0">
      <w:startOverride w:val="1"/>
    </w:lvlOverride>
  </w:num>
  <w:num w:numId="88">
    <w:abstractNumId w:val="1"/>
    <w:lvlOverride w:ilvl="0">
      <w:startOverride w:val="1"/>
    </w:lvlOverride>
  </w:num>
  <w:num w:numId="89">
    <w:abstractNumId w:val="1"/>
    <w:lvlOverride w:ilvl="0">
      <w:startOverride w:val="1"/>
    </w:lvlOverride>
  </w:num>
  <w:num w:numId="90">
    <w:abstractNumId w:val="1"/>
    <w:lvlOverride w:ilvl="0">
      <w:startOverride w:val="1"/>
    </w:lvlOverride>
  </w:num>
  <w:num w:numId="91">
    <w:abstractNumId w:val="1"/>
    <w:lvlOverride w:ilvl="0">
      <w:startOverride w:val="1"/>
    </w:lvlOverride>
  </w:num>
  <w:num w:numId="92">
    <w:abstractNumId w:val="1"/>
    <w:lvlOverride w:ilvl="0">
      <w:startOverride w:val="1"/>
    </w:lvlOverride>
  </w:num>
  <w:num w:numId="93">
    <w:abstractNumId w:val="1"/>
    <w:lvlOverride w:ilvl="0">
      <w:startOverride w:val="1"/>
    </w:lvlOverride>
  </w:num>
  <w:num w:numId="94">
    <w:abstractNumId w:val="1"/>
    <w:lvlOverride w:ilvl="0">
      <w:startOverride w:val="1"/>
    </w:lvlOverride>
  </w:num>
  <w:num w:numId="95">
    <w:abstractNumId w:val="1"/>
    <w:lvlOverride w:ilvl="0">
      <w:startOverride w:val="1"/>
    </w:lvlOverride>
  </w:num>
  <w:num w:numId="96">
    <w:abstractNumId w:val="1"/>
    <w:lvlOverride w:ilvl="0">
      <w:startOverride w:val="1"/>
    </w:lvlOverride>
  </w:num>
  <w:num w:numId="97">
    <w:abstractNumId w:val="1"/>
    <w:lvlOverride w:ilvl="0">
      <w:startOverride w:val="1"/>
    </w:lvlOverride>
  </w:num>
  <w:num w:numId="98">
    <w:abstractNumId w:val="1"/>
    <w:lvlOverride w:ilvl="0">
      <w:startOverride w:val="1"/>
    </w:lvlOverride>
  </w:num>
  <w:num w:numId="99">
    <w:abstractNumId w:val="1"/>
    <w:lvlOverride w:ilvl="0">
      <w:startOverride w:val="1"/>
    </w:lvlOverride>
  </w:num>
  <w:num w:numId="100">
    <w:abstractNumId w:val="1"/>
    <w:lvlOverride w:ilvl="0">
      <w:startOverride w:val="1"/>
    </w:lvlOverride>
  </w:num>
  <w:num w:numId="101">
    <w:abstractNumId w:val="1"/>
    <w:lvlOverride w:ilvl="0">
      <w:startOverride w:val="1"/>
    </w:lvlOverride>
  </w:num>
  <w:num w:numId="102">
    <w:abstractNumId w:val="1"/>
    <w:lvlOverride w:ilvl="0">
      <w:startOverride w:val="1"/>
    </w:lvlOverride>
  </w:num>
  <w:num w:numId="103">
    <w:abstractNumId w:val="1"/>
    <w:lvlOverride w:ilvl="0">
      <w:startOverride w:val="1"/>
    </w:lvlOverride>
  </w:num>
  <w:num w:numId="104">
    <w:abstractNumId w:val="1"/>
    <w:lvlOverride w:ilvl="0">
      <w:startOverride w:val="1"/>
    </w:lvlOverride>
  </w:num>
  <w:num w:numId="105">
    <w:abstractNumId w:val="3"/>
  </w:num>
  <w:num w:numId="106">
    <w:abstractNumId w:val="1"/>
    <w:lvlOverride w:ilvl="0">
      <w:startOverride w:val="1"/>
    </w:lvlOverride>
  </w:num>
  <w:num w:numId="107">
    <w:abstractNumId w:val="1"/>
    <w:lvlOverride w:ilvl="0">
      <w:startOverride w:val="1"/>
    </w:lvlOverride>
  </w:num>
  <w:num w:numId="108">
    <w:abstractNumId w:val="1"/>
    <w:lvlOverride w:ilvl="0">
      <w:startOverride w:val="1"/>
    </w:lvlOverride>
  </w:num>
  <w:num w:numId="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1F38D1"/>
    <w:rsid w:val="3D1F38D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eastAsia="宋体" w:cs="Times New Roman"/>
      <w:szCs w:val="20"/>
    </w:rPr>
  </w:style>
  <w:style w:type="paragraph" w:styleId="3">
    <w:name w:val="footer"/>
    <w:basedOn w:val="1"/>
    <w:uiPriority w:val="0"/>
    <w:pPr>
      <w:tabs>
        <w:tab w:val="center" w:pos="4153"/>
        <w:tab w:val="right" w:pos="8306"/>
      </w:tabs>
      <w:snapToGrid w:val="0"/>
      <w:ind w:right="210" w:rightChars="100"/>
      <w:jc w:val="right"/>
    </w:pPr>
    <w:rPr>
      <w:rFonts w:ascii="Times New Roman" w:hAnsi="Times New Roman" w:eastAsia="宋体" w:cs="Times New Roman"/>
      <w:sz w:val="18"/>
      <w:szCs w:val="18"/>
    </w:rPr>
  </w:style>
  <w:style w:type="paragraph" w:styleId="4">
    <w:name w:val="toc 1"/>
    <w:basedOn w:val="1"/>
    <w:next w:val="1"/>
    <w:uiPriority w:val="0"/>
    <w:pPr>
      <w:tabs>
        <w:tab w:val="right" w:leader="dot" w:pos="9241"/>
      </w:tabs>
      <w:spacing w:before="25" w:beforeLines="25" w:after="25" w:afterLines="25"/>
      <w:jc w:val="left"/>
    </w:pPr>
    <w:rPr>
      <w:rFonts w:ascii="宋体" w:hAnsi="Times New Roman" w:eastAsia="宋体" w:cs="Times New Roman"/>
      <w:szCs w:val="21"/>
    </w:rPr>
  </w:style>
  <w:style w:type="paragraph" w:styleId="5">
    <w:name w:val="toc 2"/>
    <w:basedOn w:val="4"/>
    <w:next w:val="1"/>
    <w:uiPriority w:val="0"/>
    <w:pPr>
      <w:widowControl/>
      <w:spacing w:before="0" w:beforeLines="0" w:after="0" w:afterLines="0"/>
      <w:jc w:val="both"/>
    </w:pPr>
    <w:rPr>
      <w:kern w:val="0"/>
      <w:szCs w:val="20"/>
    </w:rPr>
  </w:style>
  <w:style w:type="character" w:styleId="7">
    <w:name w:val="Hyperlink"/>
    <w:uiPriority w:val="0"/>
    <w:rPr>
      <w:color w:val="0000FF"/>
      <w:spacing w:val="0"/>
      <w:w w:val="100"/>
      <w:szCs w:val="21"/>
      <w:u w:val="single"/>
    </w:rPr>
  </w:style>
  <w:style w:type="paragraph" w:customStyle="1" w:styleId="9">
    <w:name w:val="章标题"/>
    <w:next w:val="10"/>
    <w:qFormat/>
    <w:uiPriority w:val="0"/>
    <w:pPr>
      <w:numPr>
        <w:ilvl w:val="0"/>
        <w:numId w:val="1"/>
      </w:numPr>
      <w:spacing w:before="312" w:beforeLines="100" w:after="312" w:afterLines="100"/>
      <w:jc w:val="both"/>
      <w:outlineLvl w:val="1"/>
    </w:pPr>
    <w:rPr>
      <w:rFonts w:ascii="黑体" w:hAnsi="Times New Roman" w:eastAsia="黑体"/>
      <w:sz w:val="21"/>
      <w:szCs w:val="22"/>
      <w:lang w:val="en-US" w:eastAsia="zh-CN" w:bidi="ar-SA"/>
    </w:rPr>
  </w:style>
  <w:style w:type="paragraph" w:customStyle="1" w:styleId="10">
    <w:name w:val="段"/>
    <w:qFormat/>
    <w:uiPriority w:val="0"/>
    <w:pPr>
      <w:tabs>
        <w:tab w:val="center" w:pos="4201"/>
        <w:tab w:val="right" w:leader="dot" w:pos="9298"/>
      </w:tabs>
      <w:autoSpaceDE w:val="0"/>
      <w:autoSpaceDN w:val="0"/>
      <w:ind w:firstLine="420" w:firstLineChars="200"/>
      <w:jc w:val="both"/>
    </w:pPr>
    <w:rPr>
      <w:rFonts w:ascii="宋体" w:hAnsi="Times New Roman"/>
      <w:sz w:val="21"/>
      <w:szCs w:val="22"/>
      <w:lang w:val="en-US" w:eastAsia="zh-CN" w:bidi="ar-SA"/>
    </w:rPr>
  </w:style>
  <w:style w:type="paragraph" w:customStyle="1" w:styleId="11">
    <w:name w:val="一级条标题"/>
    <w:next w:val="2"/>
    <w:qFormat/>
    <w:uiPriority w:val="0"/>
    <w:pPr>
      <w:numPr>
        <w:ilvl w:val="1"/>
        <w:numId w:val="1"/>
      </w:numPr>
      <w:spacing w:before="156" w:beforeLines="50" w:after="156" w:afterLines="50"/>
      <w:ind w:rightChars="100"/>
      <w:outlineLvl w:val="2"/>
    </w:pPr>
    <w:rPr>
      <w:rFonts w:ascii="黑体" w:hAnsi="Times New Roman" w:eastAsia="黑体"/>
      <w:sz w:val="21"/>
      <w:szCs w:val="21"/>
      <w:lang w:val="en-US" w:eastAsia="zh-CN" w:bidi="ar-SA"/>
    </w:rPr>
  </w:style>
  <w:style w:type="paragraph" w:customStyle="1" w:styleId="12">
    <w:name w:val="二级条标题"/>
    <w:basedOn w:val="11"/>
    <w:next w:val="10"/>
    <w:qFormat/>
    <w:uiPriority w:val="0"/>
    <w:pPr>
      <w:numPr>
        <w:ilvl w:val="2"/>
        <w:numId w:val="1"/>
      </w:numPr>
      <w:spacing w:before="50" w:after="50"/>
      <w:outlineLvl w:val="3"/>
    </w:pPr>
  </w:style>
  <w:style w:type="paragraph" w:customStyle="1" w:styleId="13">
    <w:name w:val="数字编号列项（二级）"/>
    <w:next w:val="5"/>
    <w:qFormat/>
    <w:uiPriority w:val="0"/>
    <w:pPr>
      <w:numPr>
        <w:ilvl w:val="1"/>
        <w:numId w:val="2"/>
      </w:numPr>
      <w:jc w:val="both"/>
    </w:pPr>
    <w:rPr>
      <w:rFonts w:ascii="宋体" w:hAnsi="Times New Roman"/>
      <w:sz w:val="21"/>
      <w:szCs w:val="22"/>
      <w:lang w:val="en-US" w:eastAsia="zh-CN" w:bidi="ar-SA"/>
    </w:rPr>
  </w:style>
  <w:style w:type="paragraph" w:customStyle="1" w:styleId="14">
    <w:name w:val="附录标识"/>
    <w:basedOn w:val="1"/>
    <w:next w:val="10"/>
    <w:qFormat/>
    <w:uiPriority w:val="0"/>
    <w:pPr>
      <w:keepNext/>
      <w:widowControl/>
      <w:numPr>
        <w:ilvl w:val="0"/>
        <w:numId w:val="3"/>
      </w:numPr>
      <w:shd w:val="clear" w:color="FFFFFF" w:fill="FFFFFF"/>
      <w:tabs>
        <w:tab w:val="left" w:pos="6405"/>
      </w:tabs>
      <w:spacing w:before="640" w:after="280"/>
      <w:jc w:val="center"/>
      <w:outlineLvl w:val="0"/>
    </w:pPr>
    <w:rPr>
      <w:rFonts w:ascii="黑体" w:hAnsi="Times New Roman" w:eastAsia="黑体" w:cs="Times New Roman"/>
      <w:kern w:val="0"/>
      <w:szCs w:val="20"/>
    </w:rPr>
  </w:style>
  <w:style w:type="paragraph" w:customStyle="1" w:styleId="15">
    <w:name w:val="附录章标题"/>
    <w:next w:val="10"/>
    <w:qFormat/>
    <w:uiPriority w:val="0"/>
    <w:pPr>
      <w:numPr>
        <w:ilvl w:val="1"/>
        <w:numId w:val="3"/>
      </w:numPr>
      <w:wordWrap w:val="0"/>
      <w:overflowPunct w:val="0"/>
      <w:autoSpaceDE w:val="0"/>
      <w:spacing w:before="100" w:beforeLines="100" w:after="100" w:afterLines="100"/>
      <w:jc w:val="both"/>
      <w:textAlignment w:val="baseline"/>
      <w:outlineLvl w:val="1"/>
    </w:pPr>
    <w:rPr>
      <w:rFonts w:ascii="黑体" w:hAnsi="Times New Roman" w:eastAsia="黑体"/>
      <w:kern w:val="21"/>
      <w:sz w:val="21"/>
      <w:szCs w:val="22"/>
      <w:lang w:val="en-US" w:eastAsia="zh-CN" w:bidi="ar-SA"/>
    </w:rPr>
  </w:style>
  <w:style w:type="paragraph" w:customStyle="1" w:styleId="16">
    <w:name w:val="字母编号列项（一级）"/>
    <w:next w:val="17"/>
    <w:qFormat/>
    <w:uiPriority w:val="0"/>
    <w:pPr>
      <w:numPr>
        <w:ilvl w:val="0"/>
        <w:numId w:val="2"/>
      </w:numPr>
      <w:jc w:val="both"/>
    </w:pPr>
    <w:rPr>
      <w:rFonts w:ascii="宋体" w:hAnsi="Times New Roman"/>
      <w:sz w:val="21"/>
      <w:szCs w:val="22"/>
      <w:lang w:val="en-US" w:eastAsia="zh-CN" w:bidi="ar-SA"/>
    </w:rPr>
  </w:style>
  <w:style w:type="paragraph" w:customStyle="1" w:styleId="17">
    <w:name w:val="附录一级无"/>
    <w:basedOn w:val="18"/>
    <w:qFormat/>
    <w:uiPriority w:val="0"/>
    <w:pPr>
      <w:numPr>
        <w:ilvl w:val="0"/>
        <w:numId w:val="4"/>
      </w:numPr>
      <w:tabs>
        <w:tab w:val="clear" w:pos="839"/>
      </w:tabs>
      <w:spacing w:before="0" w:beforeLines="0" w:after="0" w:afterLines="0"/>
      <w:ind w:left="4620" w:firstLine="0"/>
    </w:pPr>
    <w:rPr>
      <w:rFonts w:ascii="宋体" w:eastAsia="宋体"/>
      <w:szCs w:val="21"/>
    </w:rPr>
  </w:style>
  <w:style w:type="paragraph" w:customStyle="1" w:styleId="18">
    <w:name w:val="附录一级条标题"/>
    <w:basedOn w:val="15"/>
    <w:next w:val="10"/>
    <w:qFormat/>
    <w:uiPriority w:val="0"/>
    <w:pPr>
      <w:numPr>
        <w:ilvl w:val="2"/>
        <w:numId w:val="3"/>
      </w:numPr>
      <w:autoSpaceDN w:val="0"/>
      <w:spacing w:before="50" w:beforeLines="50" w:after="50" w:afterLines="50"/>
      <w:outlineLvl w:val="2"/>
    </w:pPr>
  </w:style>
  <w:style w:type="paragraph" w:customStyle="1" w:styleId="19">
    <w:name w:val="附录标题"/>
    <w:basedOn w:val="10"/>
    <w:next w:val="10"/>
    <w:qFormat/>
    <w:uiPriority w:val="0"/>
    <w:pPr>
      <w:ind w:firstLine="0" w:firstLineChars="0"/>
      <w:jc w:val="center"/>
    </w:pPr>
    <w:rPr>
      <w:rFonts w:ascii="黑体" w:eastAsia="黑体"/>
    </w:rPr>
  </w:style>
  <w:style w:type="character" w:customStyle="1" w:styleId="20">
    <w:name w:val="段 Char Char"/>
    <w:qFormat/>
    <w:uiPriority w:val="0"/>
    <w:rPr>
      <w:rFonts w:ascii="宋体" w:eastAsia="宋体"/>
      <w:sz w:val="21"/>
      <w:lang w:val="en-US" w:eastAsia="zh-CN" w:bidi="ar-SA"/>
    </w:rPr>
  </w:style>
  <w:style w:type="paragraph" w:customStyle="1" w:styleId="21">
    <w:name w:val="附录表标题"/>
    <w:basedOn w:val="1"/>
    <w:next w:val="10"/>
    <w:qFormat/>
    <w:uiPriority w:val="0"/>
    <w:pPr>
      <w:numPr>
        <w:ilvl w:val="1"/>
        <w:numId w:val="5"/>
      </w:numPr>
      <w:spacing w:before="50" w:beforeLines="50" w:after="50" w:afterLines="50"/>
      <w:jc w:val="center"/>
    </w:pPr>
    <w:rPr>
      <w:rFonts w:ascii="黑体" w:hAnsi="Times New Roman" w:eastAsia="黑体" w:cs="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2016-05-27T08:21:00Z</dcterms:created>
  <dc:creator>enp</dc:creator>
  <cp:lastModifiedBy>enp</cp:lastModifiedBy>
  <dcterms:modified xsi:type="dcterms:W3CDTF">2016-05-27T08:22:17Z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