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01A" w:rsidRPr="00B0301A" w:rsidRDefault="00B0301A" w:rsidP="00B0301A">
      <w:pPr>
        <w:jc w:val="center"/>
        <w:rPr>
          <w:rFonts w:ascii="黑体" w:eastAsia="黑体" w:hAnsi="黑体" w:hint="eastAsia"/>
          <w:sz w:val="44"/>
          <w:szCs w:val="44"/>
        </w:rPr>
      </w:pPr>
      <w:r w:rsidRPr="00B0301A">
        <w:rPr>
          <w:rFonts w:ascii="黑体" w:eastAsia="黑体" w:hAnsi="黑体" w:hint="eastAsia"/>
          <w:sz w:val="44"/>
          <w:szCs w:val="44"/>
        </w:rPr>
        <w:t>汕头市2017年消费品市场运行简析</w:t>
      </w:r>
    </w:p>
    <w:p w:rsidR="00B0301A" w:rsidRDefault="00B0301A" w:rsidP="00B0301A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B0301A" w:rsidRPr="00B0301A" w:rsidRDefault="00B0301A" w:rsidP="00B0301A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  <w:r w:rsidRPr="00B0301A">
        <w:rPr>
          <w:rFonts w:ascii="仿宋_GB2312" w:eastAsia="仿宋_GB2312" w:hint="eastAsia"/>
          <w:sz w:val="32"/>
          <w:szCs w:val="32"/>
        </w:rPr>
        <w:t>据市统计局数据显示，2017年汕头全年实现社会消费品零售总额1683.16亿元，同比增长11.1%；12月当月实现社会消费品零售总额137.18亿元，同比增长7.4%。</w:t>
      </w:r>
    </w:p>
    <w:p w:rsidR="00B0301A" w:rsidRPr="00B0301A" w:rsidRDefault="00B0301A" w:rsidP="00B0301A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0301A">
        <w:rPr>
          <w:rFonts w:ascii="仿宋_GB2312" w:eastAsia="仿宋_GB2312" w:hint="eastAsia"/>
          <w:sz w:val="32"/>
          <w:szCs w:val="32"/>
        </w:rPr>
        <w:t>按经营单位所在地分，2017年，全市城镇消费品零售额1231.26亿元，同比增长11.4%；乡村消费品零售额451.90亿元，同比增长10.2%。</w:t>
      </w:r>
    </w:p>
    <w:p w:rsidR="00B0301A" w:rsidRPr="00B0301A" w:rsidRDefault="00B0301A" w:rsidP="00B0301A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0301A">
        <w:rPr>
          <w:rFonts w:ascii="仿宋_GB2312" w:eastAsia="仿宋_GB2312" w:hint="eastAsia"/>
          <w:sz w:val="32"/>
          <w:szCs w:val="32"/>
        </w:rPr>
        <w:t>按消费类型分，2017年，全市商品零售1589.29亿元，同比增长11.3%；餐饮收入93.87亿元，同比增长7.1%。</w:t>
      </w:r>
    </w:p>
    <w:p w:rsidR="00B0301A" w:rsidRPr="00B0301A" w:rsidRDefault="00B0301A" w:rsidP="00B0301A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0301A">
        <w:rPr>
          <w:rFonts w:ascii="仿宋_GB2312" w:eastAsia="仿宋_GB2312" w:hint="eastAsia"/>
          <w:sz w:val="32"/>
          <w:szCs w:val="32"/>
        </w:rPr>
        <w:t>从限额以上单位商品零售分类看，全市限上“粮油、食品类”零售额同比增长12.4%，“服装、鞋帽、针纺织品类”零售额同比增长10.8%，“日用品类”零售额同比增长44.4%， “家具类”零售额同比增长43.2%，“金银珠宝类”零售额同比增长36.8%，“中西药品类”零售额同比增长27.8%， “汽车类”零售额同比增长11.8%，“石油及制品类” 零售额同比下降3.6%，“家用电器和音像器材类”零售额同比下降0.4%。</w:t>
      </w:r>
    </w:p>
    <w:p w:rsidR="009F6BF2" w:rsidRPr="00B0301A" w:rsidRDefault="009F6BF2" w:rsidP="00B0301A"/>
    <w:sectPr w:rsidR="009F6BF2" w:rsidRPr="00B03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1A"/>
    <w:rsid w:val="009F6BF2"/>
    <w:rsid w:val="00B0301A"/>
    <w:rsid w:val="00BB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B3D43C-D946-47A2-B344-A3509A66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 jiang</dc:creator>
  <cp:keywords/>
  <dc:description/>
  <cp:lastModifiedBy>hong jiang</cp:lastModifiedBy>
  <cp:revision>1</cp:revision>
  <dcterms:created xsi:type="dcterms:W3CDTF">2018-03-09T07:47:00Z</dcterms:created>
  <dcterms:modified xsi:type="dcterms:W3CDTF">2018-03-09T07:48:00Z</dcterms:modified>
</cp:coreProperties>
</file>