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cs="宋体"/>
          <w:kern w:val="0"/>
          <w:sz w:val="24"/>
          <w:szCs w:val="24"/>
        </w:rPr>
      </w:pPr>
    </w:p>
    <w:p>
      <w:pPr>
        <w:pStyle w:val="6"/>
        <w:wordWrap/>
        <w:spacing w:line="240" w:lineRule="auto"/>
        <w:jc w:val="center"/>
        <w:rPr>
          <w:rFonts w:ascii="Times New Roman" w:hAnsi="Times New Roman" w:eastAsia="黑体" w:cs="Times New Roman"/>
          <w:b w:val="0"/>
          <w:bCs/>
          <w:sz w:val="32"/>
          <w:szCs w:val="30"/>
        </w:rPr>
      </w:pPr>
      <w:r>
        <w:rPr>
          <w:rFonts w:hint="eastAsia" w:ascii="Times New Roman" w:hAnsi="Times New Roman" w:eastAsia="黑体" w:cs="Times New Roman"/>
          <w:b w:val="0"/>
          <w:bCs/>
          <w:sz w:val="32"/>
          <w:szCs w:val="30"/>
        </w:rPr>
        <w:t>汕头市城市轨道交通</w:t>
      </w:r>
    </w:p>
    <w:p>
      <w:pPr>
        <w:pStyle w:val="6"/>
        <w:wordWrap/>
        <w:spacing w:line="240" w:lineRule="auto"/>
        <w:jc w:val="center"/>
        <w:rPr>
          <w:rFonts w:ascii="Times New Roman" w:hAnsi="Times New Roman" w:eastAsia="黑体" w:cs="Times New Roman"/>
          <w:b w:val="0"/>
          <w:bCs/>
          <w:sz w:val="32"/>
          <w:szCs w:val="30"/>
        </w:rPr>
      </w:pPr>
      <w:r>
        <w:rPr>
          <w:rFonts w:ascii="Times New Roman" w:hAnsi="Times New Roman" w:eastAsia="黑体" w:cs="Times New Roman"/>
          <w:b w:val="0"/>
          <w:bCs/>
          <w:sz w:val="32"/>
          <w:szCs w:val="30"/>
        </w:rPr>
        <w:t>社会稳定风险</w:t>
      </w:r>
      <w:r>
        <w:rPr>
          <w:rFonts w:hint="eastAsia" w:ascii="Times New Roman" w:hAnsi="Times New Roman" w:eastAsia="黑体" w:cs="Times New Roman"/>
          <w:b w:val="0"/>
          <w:bCs/>
          <w:sz w:val="32"/>
          <w:szCs w:val="30"/>
        </w:rPr>
        <w:t>分析</w:t>
      </w:r>
      <w:r>
        <w:rPr>
          <w:rFonts w:ascii="Times New Roman" w:hAnsi="Times New Roman" w:eastAsia="黑体" w:cs="Times New Roman"/>
          <w:b w:val="0"/>
          <w:bCs/>
          <w:sz w:val="32"/>
          <w:szCs w:val="30"/>
        </w:rPr>
        <w:t>公众参与公示</w:t>
      </w:r>
    </w:p>
    <w:p>
      <w:pPr>
        <w:widowControl/>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根据《国家发展改革委关于印发国家发展改革委重大固定资产投资项目社会稳定风险评估暂行办法》（发改投资[2012]2492号）及《国家发展改革委办公厅关于印发重大固定资产投资项目社会稳定风险分析篇章和评估报告编制大纲（试行）》（发改办投资[2013]428号）要求，现将汕头市城市轨道交通社会稳定风险分析进行公示，征求公众对项目建设的意见和建议。</w:t>
      </w:r>
    </w:p>
    <w:p>
      <w:pPr>
        <w:widowControl/>
        <w:spacing w:line="500" w:lineRule="exact"/>
        <w:ind w:firstLine="472" w:firstLineChars="196"/>
        <w:jc w:val="left"/>
        <w:rPr>
          <w:rFonts w:ascii="宋体" w:hAnsi="宋体" w:cs="宋体"/>
          <w:b/>
          <w:kern w:val="0"/>
          <w:sz w:val="24"/>
          <w:szCs w:val="24"/>
        </w:rPr>
      </w:pPr>
      <w:r>
        <w:rPr>
          <w:rFonts w:hint="eastAsia" w:ascii="宋体" w:hAnsi="宋体" w:cs="宋体"/>
          <w:b/>
          <w:kern w:val="0"/>
          <w:sz w:val="24"/>
          <w:szCs w:val="24"/>
        </w:rPr>
        <w:t>一、项目名称及概况</w:t>
      </w:r>
    </w:p>
    <w:p>
      <w:pPr>
        <w:widowControl/>
        <w:spacing w:line="500" w:lineRule="exact"/>
        <w:ind w:firstLine="360" w:firstLineChars="150"/>
        <w:jc w:val="left"/>
        <w:rPr>
          <w:rFonts w:ascii="宋体" w:hAnsi="宋体" w:cs="宋体"/>
          <w:kern w:val="0"/>
          <w:sz w:val="24"/>
          <w:szCs w:val="24"/>
        </w:rPr>
      </w:pPr>
      <w:r>
        <w:rPr>
          <w:rFonts w:hint="eastAsia" w:ascii="宋体" w:hAnsi="宋体" w:cs="宋体"/>
          <w:kern w:val="0"/>
          <w:sz w:val="24"/>
          <w:szCs w:val="24"/>
        </w:rPr>
        <w:t>（一）项目名称</w:t>
      </w:r>
      <w:bookmarkStart w:id="0" w:name="_GoBack"/>
      <w:bookmarkEnd w:id="0"/>
    </w:p>
    <w:p>
      <w:pPr>
        <w:widowControl/>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《汕头市城市轨道交通近期建设工程》</w:t>
      </w:r>
    </w:p>
    <w:p>
      <w:pPr>
        <w:widowControl/>
        <w:spacing w:line="500" w:lineRule="exact"/>
        <w:ind w:firstLine="360" w:firstLineChars="150"/>
        <w:jc w:val="left"/>
        <w:rPr>
          <w:rFonts w:ascii="宋体" w:hAnsi="宋体" w:cs="宋体"/>
          <w:kern w:val="0"/>
          <w:sz w:val="24"/>
          <w:szCs w:val="24"/>
        </w:rPr>
      </w:pPr>
      <w:r>
        <w:rPr>
          <w:rFonts w:hint="eastAsia" w:ascii="宋体" w:hAnsi="宋体" w:cs="宋体"/>
          <w:kern w:val="0"/>
          <w:sz w:val="24"/>
          <w:szCs w:val="24"/>
        </w:rPr>
        <w:t>（二）项目概况</w:t>
      </w:r>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汕头市城市轨道交通近期建设工程，包括1号线全线（汕头大学～汕头站）、2号线一期工程（澄海北～时代广场）和3号线一期工程（汕头站～莱芜围），共57.0km，设站44座。近期工程计划2017年开工，</w:t>
      </w:r>
      <w:r>
        <w:rPr>
          <w:rFonts w:ascii="宋体" w:hAnsi="宋体" w:cs="宋体"/>
          <w:kern w:val="0"/>
          <w:sz w:val="24"/>
          <w:szCs w:val="24"/>
        </w:rPr>
        <w:t>20</w:t>
      </w:r>
      <w:r>
        <w:rPr>
          <w:rFonts w:hint="eastAsia" w:ascii="宋体" w:hAnsi="宋体" w:cs="宋体"/>
          <w:kern w:val="0"/>
          <w:sz w:val="24"/>
          <w:szCs w:val="24"/>
        </w:rPr>
        <w:t>22年全部建成通车。</w:t>
      </w:r>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1号线连接中心城区及西部鮀浦高新区，</w:t>
      </w:r>
      <w:r>
        <w:rPr>
          <w:rFonts w:ascii="宋体" w:hAnsi="宋体" w:cs="宋体"/>
          <w:kern w:val="0"/>
          <w:sz w:val="24"/>
          <w:szCs w:val="24"/>
        </w:rPr>
        <w:t>线路</w:t>
      </w:r>
      <w:r>
        <w:rPr>
          <w:rFonts w:hint="eastAsia" w:ascii="宋体" w:hAnsi="宋体" w:cs="宋体"/>
          <w:kern w:val="0"/>
          <w:sz w:val="24"/>
          <w:szCs w:val="24"/>
        </w:rPr>
        <w:t>西起汕头大学，终至汕头站，线路全长20.2km，设站18座，均为高架站,1号线可行性研究工作同步开展。</w:t>
      </w:r>
    </w:p>
    <w:p>
      <w:pPr>
        <w:widowControl/>
        <w:spacing w:line="500" w:lineRule="exact"/>
        <w:ind w:firstLine="472" w:firstLineChars="196"/>
        <w:jc w:val="left"/>
        <w:rPr>
          <w:rFonts w:ascii="宋体" w:hAnsi="宋体" w:cs="宋体"/>
          <w:b/>
          <w:bCs/>
          <w:kern w:val="0"/>
          <w:sz w:val="24"/>
          <w:szCs w:val="24"/>
        </w:rPr>
      </w:pPr>
      <w:r>
        <w:rPr>
          <w:rFonts w:hint="eastAsia" w:ascii="宋体" w:hAnsi="宋体" w:cs="宋体"/>
          <w:b/>
          <w:kern w:val="0"/>
          <w:sz w:val="24"/>
          <w:szCs w:val="24"/>
        </w:rPr>
        <w:t>二、</w:t>
      </w:r>
      <w:r>
        <w:rPr>
          <w:rFonts w:hint="eastAsia" w:ascii="宋体" w:hAnsi="宋体" w:cs="宋体"/>
          <w:b/>
          <w:bCs/>
          <w:kern w:val="0"/>
          <w:sz w:val="24"/>
          <w:szCs w:val="24"/>
        </w:rPr>
        <w:t>社会稳定风险分析的主要内容</w:t>
      </w:r>
    </w:p>
    <w:p>
      <w:pPr>
        <w:widowControl/>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社会稳定风险分析主要对汕头市城市轨道交通近期建设工程建设和运营可能引起社会风险因素进行分析。针对规划的合法性（政策规划和审批程序）；合理性（征地拆迁及补偿、生态环境、噪声振动、文物、电磁辐射及交通拥堵等）、可行性（规划方案、建设条件和建设时机）、可控性（运营安全、社会舆论）四个方面进行规划“风险调查、风险识别、风险估计、风险防范和化解措施、风险等级综合评判、风险结论”逐层分析。</w:t>
      </w:r>
    </w:p>
    <w:p>
      <w:pPr>
        <w:widowControl/>
        <w:spacing w:line="500" w:lineRule="exact"/>
        <w:ind w:firstLine="472" w:firstLineChars="196"/>
        <w:jc w:val="left"/>
        <w:rPr>
          <w:rFonts w:ascii="宋体" w:hAnsi="宋体" w:cs="宋体"/>
          <w:b/>
          <w:bCs/>
          <w:kern w:val="0"/>
          <w:sz w:val="24"/>
          <w:szCs w:val="24"/>
        </w:rPr>
      </w:pPr>
      <w:r>
        <w:rPr>
          <w:rFonts w:hint="eastAsia" w:ascii="宋体" w:hAnsi="宋体" w:cs="宋体"/>
          <w:b/>
          <w:bCs/>
          <w:kern w:val="0"/>
          <w:sz w:val="24"/>
          <w:szCs w:val="24"/>
        </w:rPr>
        <w:t>三、征求公众意见的范围和主要事项</w:t>
      </w:r>
    </w:p>
    <w:p>
      <w:pPr>
        <w:widowControl/>
        <w:spacing w:line="500" w:lineRule="exact"/>
        <w:ind w:firstLine="470" w:firstLineChars="196"/>
        <w:jc w:val="left"/>
        <w:rPr>
          <w:rFonts w:ascii="宋体" w:hAnsi="宋体" w:cs="宋体"/>
          <w:kern w:val="0"/>
          <w:sz w:val="24"/>
          <w:szCs w:val="24"/>
        </w:rPr>
      </w:pPr>
      <w:r>
        <w:rPr>
          <w:rFonts w:hint="eastAsia" w:ascii="宋体" w:hAnsi="宋体" w:cs="宋体"/>
          <w:kern w:val="0"/>
          <w:sz w:val="24"/>
          <w:szCs w:val="24"/>
        </w:rPr>
        <w:t>（一）征求公众意见的范围</w:t>
      </w:r>
    </w:p>
    <w:p>
      <w:pPr>
        <w:widowControl/>
        <w:spacing w:line="500" w:lineRule="exact"/>
        <w:ind w:firstLine="470" w:firstLineChars="196"/>
        <w:jc w:val="left"/>
        <w:rPr>
          <w:rFonts w:ascii="宋体" w:hAnsi="宋体" w:cs="宋体"/>
          <w:kern w:val="0"/>
          <w:sz w:val="24"/>
          <w:szCs w:val="24"/>
        </w:rPr>
      </w:pPr>
      <w:r>
        <w:rPr>
          <w:rFonts w:hint="eastAsia" w:ascii="宋体" w:hAnsi="宋体" w:cs="宋体"/>
          <w:kern w:val="0"/>
          <w:sz w:val="24"/>
          <w:szCs w:val="24"/>
        </w:rPr>
        <w:t>规划线路两侧影响范围内的居民、商铺及企事业单位。</w:t>
      </w:r>
    </w:p>
    <w:p>
      <w:pPr>
        <w:widowControl/>
        <w:spacing w:line="500" w:lineRule="exact"/>
        <w:ind w:firstLine="470" w:firstLineChars="196"/>
        <w:jc w:val="left"/>
        <w:rPr>
          <w:rFonts w:ascii="宋体" w:hAnsi="宋体" w:cs="宋体"/>
          <w:kern w:val="0"/>
          <w:sz w:val="24"/>
          <w:szCs w:val="24"/>
        </w:rPr>
      </w:pPr>
      <w:r>
        <w:rPr>
          <w:rFonts w:hint="eastAsia" w:ascii="宋体" w:hAnsi="宋体" w:cs="宋体"/>
          <w:kern w:val="0"/>
          <w:sz w:val="24"/>
          <w:szCs w:val="24"/>
        </w:rPr>
        <w:t>（二）征求公众意见的主要事项</w:t>
      </w:r>
    </w:p>
    <w:p>
      <w:pPr>
        <w:widowControl/>
        <w:spacing w:line="500" w:lineRule="exact"/>
        <w:ind w:firstLine="470" w:firstLineChars="196"/>
        <w:jc w:val="left"/>
        <w:rPr>
          <w:rFonts w:ascii="宋体" w:hAnsi="宋体" w:cs="宋体"/>
          <w:kern w:val="0"/>
          <w:sz w:val="24"/>
          <w:szCs w:val="24"/>
        </w:rPr>
      </w:pPr>
      <w:r>
        <w:rPr>
          <w:rFonts w:hint="eastAsia" w:ascii="宋体" w:hAnsi="宋体" w:cs="宋体"/>
          <w:kern w:val="0"/>
          <w:sz w:val="24"/>
          <w:szCs w:val="24"/>
        </w:rPr>
        <w:t>1、公众对该建设方案实施的态度；</w:t>
      </w:r>
    </w:p>
    <w:p>
      <w:pPr>
        <w:widowControl/>
        <w:spacing w:line="500" w:lineRule="exact"/>
        <w:ind w:firstLine="470" w:firstLineChars="196"/>
        <w:jc w:val="left"/>
        <w:rPr>
          <w:rFonts w:ascii="宋体" w:hAnsi="宋体" w:cs="宋体"/>
          <w:kern w:val="0"/>
          <w:sz w:val="24"/>
          <w:szCs w:val="24"/>
        </w:rPr>
      </w:pPr>
      <w:r>
        <w:rPr>
          <w:rFonts w:hint="eastAsia" w:ascii="宋体" w:hAnsi="宋体" w:cs="宋体"/>
          <w:kern w:val="0"/>
          <w:sz w:val="24"/>
          <w:szCs w:val="24"/>
        </w:rPr>
        <w:t>2、该建设方案实施对当地经济发展和交通出行的作用；</w:t>
      </w:r>
    </w:p>
    <w:p>
      <w:pPr>
        <w:widowControl/>
        <w:spacing w:line="500" w:lineRule="exact"/>
        <w:ind w:firstLine="470" w:firstLineChars="196"/>
        <w:jc w:val="left"/>
        <w:rPr>
          <w:rFonts w:ascii="宋体" w:hAnsi="宋体" w:cs="宋体"/>
          <w:kern w:val="0"/>
          <w:sz w:val="24"/>
          <w:szCs w:val="24"/>
        </w:rPr>
      </w:pPr>
      <w:r>
        <w:rPr>
          <w:rFonts w:hint="eastAsia" w:ascii="宋体" w:hAnsi="宋体" w:cs="宋体"/>
          <w:kern w:val="0"/>
          <w:sz w:val="24"/>
          <w:szCs w:val="24"/>
        </w:rPr>
        <w:t>3、该建设方案实施对当地社会稳定有何主要风险；</w:t>
      </w:r>
    </w:p>
    <w:p>
      <w:pPr>
        <w:widowControl/>
        <w:spacing w:line="500" w:lineRule="exact"/>
        <w:ind w:firstLine="470" w:firstLineChars="196"/>
        <w:jc w:val="left"/>
        <w:rPr>
          <w:rFonts w:ascii="宋体" w:hAnsi="宋体" w:cs="宋体"/>
          <w:kern w:val="0"/>
          <w:sz w:val="24"/>
          <w:szCs w:val="24"/>
        </w:rPr>
      </w:pPr>
      <w:r>
        <w:rPr>
          <w:rFonts w:hint="eastAsia" w:ascii="宋体" w:hAnsi="宋体" w:cs="宋体"/>
          <w:kern w:val="0"/>
          <w:sz w:val="24"/>
          <w:szCs w:val="24"/>
        </w:rPr>
        <w:t>4、公众的其他意见和建议。</w:t>
      </w:r>
    </w:p>
    <w:p>
      <w:pPr>
        <w:widowControl/>
        <w:spacing w:line="500" w:lineRule="exact"/>
        <w:ind w:firstLine="472" w:firstLineChars="196"/>
        <w:jc w:val="left"/>
        <w:rPr>
          <w:rFonts w:ascii="宋体" w:hAnsi="宋体" w:cs="宋体"/>
          <w:kern w:val="0"/>
          <w:sz w:val="24"/>
          <w:szCs w:val="24"/>
        </w:rPr>
      </w:pPr>
      <w:r>
        <w:rPr>
          <w:rFonts w:hint="eastAsia" w:ascii="宋体" w:hAnsi="宋体" w:cs="宋体"/>
          <w:b/>
          <w:bCs/>
          <w:kern w:val="0"/>
          <w:sz w:val="24"/>
          <w:szCs w:val="24"/>
        </w:rPr>
        <w:t>四、公众参与主要方式</w:t>
      </w:r>
    </w:p>
    <w:p>
      <w:pPr>
        <w:widowControl/>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即日起，公众可通过电子邮件、信函、电话等方式向主管单位、分析单位发表对轨道交通建设规划和1号线可行性研究社会稳定风险方面的意见和建议。</w:t>
      </w:r>
    </w:p>
    <w:tbl>
      <w:tblPr>
        <w:tblStyle w:val="5"/>
        <w:tblW w:w="13455" w:type="dxa"/>
        <w:tblInd w:w="0" w:type="dxa"/>
        <w:tblLayout w:type="fixed"/>
        <w:tblCellMar>
          <w:top w:w="0" w:type="dxa"/>
          <w:left w:w="108" w:type="dxa"/>
          <w:bottom w:w="0" w:type="dxa"/>
          <w:right w:w="108" w:type="dxa"/>
        </w:tblCellMar>
      </w:tblPr>
      <w:tblGrid>
        <w:gridCol w:w="2247"/>
        <w:gridCol w:w="5309"/>
        <w:gridCol w:w="5899"/>
      </w:tblGrid>
      <w:tr>
        <w:tblPrEx>
          <w:tblLayout w:type="fixed"/>
          <w:tblCellMar>
            <w:top w:w="0" w:type="dxa"/>
            <w:left w:w="108" w:type="dxa"/>
            <w:bottom w:w="0" w:type="dxa"/>
            <w:right w:w="108" w:type="dxa"/>
          </w:tblCellMar>
        </w:tblPrEx>
        <w:trPr>
          <w:trHeight w:val="570" w:hRule="atLeast"/>
        </w:trPr>
        <w:tc>
          <w:tcPr>
            <w:tcW w:w="22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单位名称</w:t>
            </w:r>
          </w:p>
        </w:tc>
        <w:tc>
          <w:tcPr>
            <w:tcW w:w="53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主管单位</w:t>
            </w:r>
          </w:p>
        </w:tc>
        <w:tc>
          <w:tcPr>
            <w:tcW w:w="58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社会稳定风险分析单位</w:t>
            </w:r>
          </w:p>
        </w:tc>
      </w:tr>
      <w:tr>
        <w:tblPrEx>
          <w:tblLayout w:type="fixed"/>
          <w:tblCellMar>
            <w:top w:w="0" w:type="dxa"/>
            <w:left w:w="108" w:type="dxa"/>
            <w:bottom w:w="0" w:type="dxa"/>
            <w:right w:w="108" w:type="dxa"/>
          </w:tblCellMar>
        </w:tblPrEx>
        <w:trPr>
          <w:trHeight w:val="570" w:hRule="atLeast"/>
        </w:trPr>
        <w:tc>
          <w:tcPr>
            <w:tcW w:w="22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5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汕头市交通运输局</w:t>
            </w:r>
          </w:p>
        </w:tc>
        <w:tc>
          <w:tcPr>
            <w:tcW w:w="5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中铁工程设计咨询集团有限公司</w:t>
            </w:r>
          </w:p>
        </w:tc>
      </w:tr>
      <w:tr>
        <w:tblPrEx>
          <w:tblLayout w:type="fixed"/>
          <w:tblCellMar>
            <w:top w:w="0" w:type="dxa"/>
            <w:left w:w="108" w:type="dxa"/>
            <w:bottom w:w="0" w:type="dxa"/>
            <w:right w:w="108" w:type="dxa"/>
          </w:tblCellMar>
        </w:tblPrEx>
        <w:trPr>
          <w:trHeight w:val="570" w:hRule="atLeast"/>
        </w:trPr>
        <w:tc>
          <w:tcPr>
            <w:tcW w:w="22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地址</w:t>
            </w:r>
          </w:p>
        </w:tc>
        <w:tc>
          <w:tcPr>
            <w:tcW w:w="5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color w:val="000000"/>
                <w:sz w:val="23"/>
                <w:szCs w:val="23"/>
                <w:shd w:val="clear" w:color="auto" w:fill="F9FCFE"/>
              </w:rPr>
              <w:t>广东省汕头市金平区天山北路与春江路交界处（春江大厦）</w:t>
            </w:r>
          </w:p>
        </w:tc>
        <w:tc>
          <w:tcPr>
            <w:tcW w:w="5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北京市丰台区广安路15号</w:t>
            </w:r>
          </w:p>
        </w:tc>
      </w:tr>
      <w:tr>
        <w:tblPrEx>
          <w:tblLayout w:type="fixed"/>
          <w:tblCellMar>
            <w:top w:w="0" w:type="dxa"/>
            <w:left w:w="108" w:type="dxa"/>
            <w:bottom w:w="0" w:type="dxa"/>
            <w:right w:w="108" w:type="dxa"/>
          </w:tblCellMar>
        </w:tblPrEx>
        <w:trPr>
          <w:trHeight w:val="285" w:hRule="atLeast"/>
        </w:trPr>
        <w:tc>
          <w:tcPr>
            <w:tcW w:w="22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邮编</w:t>
            </w:r>
          </w:p>
        </w:tc>
        <w:tc>
          <w:tcPr>
            <w:tcW w:w="5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515000</w:t>
            </w:r>
          </w:p>
        </w:tc>
        <w:tc>
          <w:tcPr>
            <w:tcW w:w="5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100055</w:t>
            </w:r>
          </w:p>
        </w:tc>
      </w:tr>
      <w:tr>
        <w:tblPrEx>
          <w:tblLayout w:type="fixed"/>
          <w:tblCellMar>
            <w:top w:w="0" w:type="dxa"/>
            <w:left w:w="108" w:type="dxa"/>
            <w:bottom w:w="0" w:type="dxa"/>
            <w:right w:w="108" w:type="dxa"/>
          </w:tblCellMar>
        </w:tblPrEx>
        <w:trPr>
          <w:trHeight w:val="285" w:hRule="atLeast"/>
        </w:trPr>
        <w:tc>
          <w:tcPr>
            <w:tcW w:w="22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联系人</w:t>
            </w:r>
          </w:p>
        </w:tc>
        <w:tc>
          <w:tcPr>
            <w:tcW w:w="5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color w:val="000000"/>
                <w:sz w:val="23"/>
                <w:szCs w:val="23"/>
                <w:shd w:val="clear" w:color="auto" w:fill="F9FCFE"/>
              </w:rPr>
              <w:t>王工</w:t>
            </w:r>
          </w:p>
        </w:tc>
        <w:tc>
          <w:tcPr>
            <w:tcW w:w="5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邹卫强</w:t>
            </w:r>
          </w:p>
        </w:tc>
      </w:tr>
      <w:tr>
        <w:tblPrEx>
          <w:tblLayout w:type="fixed"/>
          <w:tblCellMar>
            <w:top w:w="0" w:type="dxa"/>
            <w:left w:w="108" w:type="dxa"/>
            <w:bottom w:w="0" w:type="dxa"/>
            <w:right w:w="108" w:type="dxa"/>
          </w:tblCellMar>
        </w:tblPrEx>
        <w:trPr>
          <w:trHeight w:val="285" w:hRule="atLeast"/>
        </w:trPr>
        <w:tc>
          <w:tcPr>
            <w:tcW w:w="22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联系电话</w:t>
            </w:r>
          </w:p>
        </w:tc>
        <w:tc>
          <w:tcPr>
            <w:tcW w:w="53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 w:val="24"/>
                <w:szCs w:val="24"/>
                <w:lang w:val="en-US" w:eastAsia="zh-CN"/>
              </w:rPr>
            </w:pPr>
            <w:r>
              <w:rPr>
                <w:rFonts w:hint="eastAsia" w:ascii="宋体" w:hAnsi="宋体" w:cs="宋体"/>
                <w:kern w:val="0"/>
                <w:sz w:val="24"/>
                <w:szCs w:val="24"/>
                <w:lang w:val="en-US" w:eastAsia="zh-CN"/>
              </w:rPr>
              <w:t>\</w:t>
            </w:r>
          </w:p>
        </w:tc>
        <w:tc>
          <w:tcPr>
            <w:tcW w:w="5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010-52696559</w:t>
            </w:r>
          </w:p>
        </w:tc>
      </w:tr>
      <w:tr>
        <w:tblPrEx>
          <w:tblLayout w:type="fixed"/>
          <w:tblCellMar>
            <w:top w:w="0" w:type="dxa"/>
            <w:left w:w="108" w:type="dxa"/>
            <w:bottom w:w="0" w:type="dxa"/>
            <w:right w:w="108" w:type="dxa"/>
          </w:tblCellMar>
        </w:tblPrEx>
        <w:trPr>
          <w:trHeight w:val="285" w:hRule="atLeast"/>
        </w:trPr>
        <w:tc>
          <w:tcPr>
            <w:tcW w:w="22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电子邮箱</w:t>
            </w:r>
          </w:p>
        </w:tc>
        <w:tc>
          <w:tcPr>
            <w:tcW w:w="53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ascii="宋体" w:hAnsi="宋体" w:cs="宋体"/>
                <w:kern w:val="0"/>
                <w:sz w:val="24"/>
                <w:szCs w:val="24"/>
              </w:rPr>
              <w:t>61320226@qq.com</w:t>
            </w:r>
          </w:p>
        </w:tc>
        <w:tc>
          <w:tcPr>
            <w:tcW w:w="5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u w:val="single"/>
              </w:rPr>
            </w:pPr>
            <w:r>
              <w:fldChar w:fldCharType="begin"/>
            </w:r>
            <w:r>
              <w:instrText xml:space="preserve"> HYPERLINK "mailto:zouweiqiang@126.com" </w:instrText>
            </w:r>
            <w:r>
              <w:fldChar w:fldCharType="separate"/>
            </w:r>
            <w:r>
              <w:rPr>
                <w:rStyle w:val="4"/>
                <w:rFonts w:hint="eastAsia" w:ascii="宋体" w:hAnsi="宋体" w:cs="宋体"/>
                <w:color w:val="auto"/>
                <w:kern w:val="0"/>
                <w:sz w:val="24"/>
                <w:szCs w:val="24"/>
              </w:rPr>
              <w:t>zouweiqiang@126.com</w:t>
            </w:r>
            <w:r>
              <w:rPr>
                <w:rStyle w:val="4"/>
                <w:rFonts w:hint="eastAsia" w:ascii="宋体" w:hAnsi="宋体" w:cs="宋体"/>
                <w:color w:val="auto"/>
                <w:kern w:val="0"/>
                <w:sz w:val="24"/>
                <w:szCs w:val="24"/>
              </w:rPr>
              <w:fldChar w:fldCharType="end"/>
            </w:r>
          </w:p>
        </w:tc>
      </w:tr>
    </w:tbl>
    <w:p>
      <w:pPr>
        <w:widowControl/>
        <w:spacing w:line="500" w:lineRule="exact"/>
        <w:ind w:firstLine="472" w:firstLineChars="196"/>
        <w:jc w:val="left"/>
        <w:rPr>
          <w:rFonts w:ascii="宋体" w:hAnsi="宋体" w:cs="宋体"/>
          <w:kern w:val="0"/>
          <w:sz w:val="24"/>
          <w:szCs w:val="24"/>
        </w:rPr>
      </w:pPr>
      <w:r>
        <w:rPr>
          <w:rFonts w:hint="eastAsia" w:ascii="宋体" w:hAnsi="宋体" w:cs="宋体"/>
          <w:b/>
          <w:bCs/>
          <w:kern w:val="0"/>
          <w:sz w:val="24"/>
          <w:szCs w:val="24"/>
        </w:rPr>
        <w:t>五、信息发布有效期限</w:t>
      </w:r>
    </w:p>
    <w:p>
      <w:pPr>
        <w:widowControl/>
        <w:spacing w:line="500" w:lineRule="exact"/>
        <w:ind w:firstLine="470" w:firstLineChars="196"/>
        <w:jc w:val="left"/>
        <w:rPr>
          <w:rFonts w:ascii="宋体" w:hAnsi="宋体" w:cs="宋体"/>
          <w:kern w:val="0"/>
          <w:sz w:val="24"/>
          <w:szCs w:val="24"/>
        </w:rPr>
      </w:pPr>
      <w:r>
        <w:rPr>
          <w:rFonts w:hint="eastAsia" w:ascii="宋体" w:hAnsi="宋体" w:cs="宋体"/>
          <w:kern w:val="0"/>
          <w:sz w:val="24"/>
          <w:szCs w:val="24"/>
        </w:rPr>
        <w:t>自本公示登出后十个工作日内。</w:t>
      </w:r>
    </w:p>
    <w:p>
      <w:pPr>
        <w:widowControl/>
        <w:wordWrap w:val="0"/>
        <w:spacing w:line="500" w:lineRule="exact"/>
        <w:ind w:firstLine="470" w:firstLineChars="196"/>
        <w:jc w:val="right"/>
        <w:rPr>
          <w:rFonts w:ascii="宋体" w:hAnsi="宋体" w:cs="宋体"/>
          <w:kern w:val="0"/>
          <w:sz w:val="24"/>
          <w:szCs w:val="24"/>
        </w:rPr>
      </w:pPr>
      <w:r>
        <w:rPr>
          <w:rFonts w:hint="eastAsia" w:ascii="宋体" w:hAnsi="宋体" w:cs="宋体"/>
          <w:kern w:val="0"/>
          <w:sz w:val="24"/>
          <w:szCs w:val="24"/>
        </w:rPr>
        <w:t xml:space="preserve">汕头市交通运输局      </w:t>
      </w:r>
    </w:p>
    <w:p>
      <w:pPr>
        <w:widowControl/>
        <w:spacing w:line="500" w:lineRule="exact"/>
        <w:ind w:firstLine="9638" w:firstLineChars="4016"/>
        <w:jc w:val="left"/>
        <w:rPr>
          <w:rFonts w:ascii="宋体" w:hAnsi="宋体" w:cs="宋体"/>
          <w:kern w:val="0"/>
          <w:sz w:val="24"/>
          <w:szCs w:val="24"/>
        </w:rPr>
      </w:pPr>
      <w:r>
        <w:rPr>
          <w:rFonts w:hint="eastAsia" w:ascii="宋体" w:hAnsi="宋体" w:cs="宋体"/>
          <w:kern w:val="0"/>
          <w:sz w:val="24"/>
          <w:szCs w:val="24"/>
        </w:rPr>
        <w:t>中铁工程设计咨询集团有限公司</w:t>
      </w:r>
    </w:p>
    <w:p>
      <w:pPr>
        <w:widowControl/>
        <w:spacing w:line="500" w:lineRule="exact"/>
        <w:ind w:firstLine="10346" w:firstLineChars="4311"/>
        <w:jc w:val="left"/>
        <w:rPr>
          <w:rFonts w:ascii="宋体" w:hAnsi="宋体" w:cs="宋体"/>
          <w:kern w:val="0"/>
          <w:sz w:val="24"/>
          <w:szCs w:val="24"/>
        </w:rPr>
      </w:pPr>
      <w:r>
        <w:rPr>
          <w:rFonts w:hint="eastAsia" w:ascii="宋体" w:hAnsi="宋体" w:cs="宋体"/>
          <w:kern w:val="0"/>
          <w:sz w:val="24"/>
          <w:szCs w:val="24"/>
        </w:rPr>
        <w:t>2016年12月9日</w:t>
      </w:r>
    </w:p>
    <w:sectPr>
      <w:pgSz w:w="16839" w:h="23814"/>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181"/>
    <w:rsid w:val="00031A02"/>
    <w:rsid w:val="000353F5"/>
    <w:rsid w:val="00153475"/>
    <w:rsid w:val="001970ED"/>
    <w:rsid w:val="001F002F"/>
    <w:rsid w:val="002072DF"/>
    <w:rsid w:val="00250AAD"/>
    <w:rsid w:val="002706E3"/>
    <w:rsid w:val="002A07D8"/>
    <w:rsid w:val="002B62A3"/>
    <w:rsid w:val="00303342"/>
    <w:rsid w:val="003415F8"/>
    <w:rsid w:val="00342AE4"/>
    <w:rsid w:val="003437F4"/>
    <w:rsid w:val="00422181"/>
    <w:rsid w:val="004248C1"/>
    <w:rsid w:val="00496C3E"/>
    <w:rsid w:val="004B578C"/>
    <w:rsid w:val="00527A0C"/>
    <w:rsid w:val="00571677"/>
    <w:rsid w:val="005A62DC"/>
    <w:rsid w:val="00631BD5"/>
    <w:rsid w:val="00692E0C"/>
    <w:rsid w:val="0070245D"/>
    <w:rsid w:val="00781CEF"/>
    <w:rsid w:val="007A6125"/>
    <w:rsid w:val="00853362"/>
    <w:rsid w:val="00866B81"/>
    <w:rsid w:val="009530CA"/>
    <w:rsid w:val="00AA1ED8"/>
    <w:rsid w:val="00AA3693"/>
    <w:rsid w:val="00AD61F6"/>
    <w:rsid w:val="00B134C4"/>
    <w:rsid w:val="00BB02E0"/>
    <w:rsid w:val="00BD265D"/>
    <w:rsid w:val="00C463F6"/>
    <w:rsid w:val="00D00217"/>
    <w:rsid w:val="00D36FA3"/>
    <w:rsid w:val="00D726CF"/>
    <w:rsid w:val="00D858E5"/>
    <w:rsid w:val="00D95BE1"/>
    <w:rsid w:val="00DD3F7B"/>
    <w:rsid w:val="00E41713"/>
    <w:rsid w:val="00F428F0"/>
    <w:rsid w:val="00FB0FAA"/>
    <w:rsid w:val="6E1E129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7"/>
    <w:unhideWhenUsed/>
    <w:uiPriority w:val="99"/>
    <w:rPr>
      <w:sz w:val="18"/>
      <w:szCs w:val="18"/>
    </w:rPr>
  </w:style>
  <w:style w:type="character" w:styleId="4">
    <w:name w:val="Hyperlink"/>
    <w:unhideWhenUsed/>
    <w:uiPriority w:val="99"/>
    <w:rPr>
      <w:color w:val="2D64B3"/>
      <w:u w:val="none"/>
    </w:rPr>
  </w:style>
  <w:style w:type="paragraph" w:customStyle="1" w:styleId="6">
    <w:name w:val="环小四表题"/>
    <w:basedOn w:val="1"/>
    <w:uiPriority w:val="0"/>
    <w:pPr>
      <w:wordWrap w:val="0"/>
      <w:spacing w:line="400" w:lineRule="exact"/>
      <w:jc w:val="right"/>
    </w:pPr>
    <w:rPr>
      <w:rFonts w:ascii="宋体" w:hAnsi="Calibri" w:eastAsia="宋体" w:cs="黑体"/>
      <w:b/>
      <w:sz w:val="24"/>
      <w:szCs w:val="24"/>
    </w:rPr>
  </w:style>
  <w:style w:type="character" w:customStyle="1" w:styleId="7">
    <w:name w:val="批注框文本 Char"/>
    <w:basedOn w:val="3"/>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174</Words>
  <Characters>995</Characters>
  <Lines>8</Lines>
  <Paragraphs>2</Paragraphs>
  <TotalTime>0</TotalTime>
  <ScaleCrop>false</ScaleCrop>
  <LinksUpToDate>false</LinksUpToDate>
  <CharactersWithSpaces>1167</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2016-10-31T02:44:00Z</dcterms:created>
  <dc:creator>dell</dc:creator>
  <cp:lastModifiedBy>Administrator</cp:lastModifiedBy>
  <cp:lastPrinted>2016-11-24T01:59:00Z</cp:lastPrinted>
  <dcterms:modified xsi:type="dcterms:W3CDTF">2016-12-08T07:46:52Z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