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4"/>
          <w:szCs w:val="24"/>
        </w:rPr>
      </w:pPr>
    </w:p>
    <w:p>
      <w:pPr>
        <w:pStyle w:val="6"/>
        <w:wordWrap/>
        <w:spacing w:line="240" w:lineRule="auto"/>
        <w:jc w:val="center"/>
        <w:rPr>
          <w:rFonts w:ascii="Times New Roman" w:hAnsi="Times New Roman" w:eastAsia="黑体" w:cs="Times New Roman"/>
          <w:b w:val="0"/>
          <w:bCs/>
          <w:sz w:val="32"/>
          <w:szCs w:val="30"/>
        </w:rPr>
      </w:pPr>
      <w:r>
        <w:rPr>
          <w:rFonts w:hint="eastAsia" w:ascii="Times New Roman" w:hAnsi="Times New Roman" w:eastAsia="黑体" w:cs="Times New Roman"/>
          <w:b w:val="0"/>
          <w:bCs/>
          <w:sz w:val="32"/>
          <w:szCs w:val="30"/>
        </w:rPr>
        <w:t>汕头市城市轨道交通</w:t>
      </w:r>
    </w:p>
    <w:p>
      <w:pPr>
        <w:pStyle w:val="6"/>
        <w:wordWrap/>
        <w:spacing w:line="240" w:lineRule="auto"/>
        <w:jc w:val="center"/>
        <w:rPr>
          <w:rFonts w:ascii="Times New Roman" w:hAnsi="Times New Roman" w:eastAsia="黑体" w:cs="Times New Roman"/>
          <w:b w:val="0"/>
          <w:bCs/>
          <w:sz w:val="32"/>
          <w:szCs w:val="30"/>
        </w:rPr>
      </w:pPr>
      <w:r>
        <w:rPr>
          <w:rFonts w:ascii="Times New Roman" w:hAnsi="Times New Roman" w:eastAsia="黑体" w:cs="Times New Roman"/>
          <w:b w:val="0"/>
          <w:bCs/>
          <w:sz w:val="32"/>
          <w:szCs w:val="30"/>
        </w:rPr>
        <w:t>社会稳定风险</w:t>
      </w:r>
      <w:r>
        <w:rPr>
          <w:rFonts w:hint="eastAsia" w:ascii="Times New Roman" w:hAnsi="Times New Roman" w:eastAsia="黑体" w:cs="Times New Roman"/>
          <w:b w:val="0"/>
          <w:bCs/>
          <w:sz w:val="32"/>
          <w:szCs w:val="30"/>
        </w:rPr>
        <w:t>分析</w:t>
      </w:r>
      <w:r>
        <w:rPr>
          <w:rFonts w:ascii="Times New Roman" w:hAnsi="Times New Roman" w:eastAsia="黑体" w:cs="Times New Roman"/>
          <w:b w:val="0"/>
          <w:bCs/>
          <w:sz w:val="32"/>
          <w:szCs w:val="30"/>
        </w:rPr>
        <w:t>公众参与公示</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汕头市城市轨道交通社会稳定风险分析进行公示，征求公众对项目建设的意见和建议。</w:t>
      </w:r>
    </w:p>
    <w:p>
      <w:pPr>
        <w:widowControl/>
        <w:spacing w:line="500" w:lineRule="exact"/>
        <w:ind w:firstLine="472" w:firstLineChars="196"/>
        <w:jc w:val="left"/>
        <w:rPr>
          <w:rFonts w:ascii="宋体" w:hAnsi="宋体" w:cs="宋体"/>
          <w:b/>
          <w:kern w:val="0"/>
          <w:sz w:val="24"/>
          <w:szCs w:val="24"/>
        </w:rPr>
      </w:pPr>
      <w:r>
        <w:rPr>
          <w:rFonts w:hint="eastAsia" w:ascii="宋体" w:hAnsi="宋体" w:cs="宋体"/>
          <w:b/>
          <w:kern w:val="0"/>
          <w:sz w:val="24"/>
          <w:szCs w:val="24"/>
        </w:rPr>
        <w:t>一、项目名称及概况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（一）项目名称</w:t>
      </w:r>
      <w:bookmarkStart w:id="0" w:name="_GoBack"/>
      <w:bookmarkEnd w:id="0"/>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《汕头市城市轨道交通近期建设工程》</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（二）项目概况</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汕头市城市轨道交通近期建设工程，包括1号线全线（汕头大学～汕头站）、2号线一期工程（澄海北～时代广场）和3号线一期工程（汕头站～莱芜围），共57.0km，设站44座。近期工程计划2017年开工，</w:t>
      </w:r>
      <w:r>
        <w:rPr>
          <w:rFonts w:ascii="宋体" w:hAnsi="宋体" w:cs="宋体"/>
          <w:kern w:val="0"/>
          <w:sz w:val="24"/>
          <w:szCs w:val="24"/>
        </w:rPr>
        <w:t>20</w:t>
      </w:r>
      <w:r>
        <w:rPr>
          <w:rFonts w:hint="eastAsia" w:ascii="宋体" w:hAnsi="宋体" w:cs="宋体"/>
          <w:kern w:val="0"/>
          <w:sz w:val="24"/>
          <w:szCs w:val="24"/>
        </w:rPr>
        <w:t>22年全部建成通车。</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1号线连接中心城区及西部鮀浦高新区，</w:t>
      </w:r>
      <w:r>
        <w:rPr>
          <w:rFonts w:ascii="宋体" w:hAnsi="宋体" w:cs="宋体"/>
          <w:kern w:val="0"/>
          <w:sz w:val="24"/>
          <w:szCs w:val="24"/>
        </w:rPr>
        <w:t>线路</w:t>
      </w:r>
      <w:r>
        <w:rPr>
          <w:rFonts w:hint="eastAsia" w:ascii="宋体" w:hAnsi="宋体" w:cs="宋体"/>
          <w:kern w:val="0"/>
          <w:sz w:val="24"/>
          <w:szCs w:val="24"/>
        </w:rPr>
        <w:t>西起汕头大学，终至汕头站，线路全长20.2km，设站18座，均为高架站,1号线可行性研究工作同步开展。</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社会稳定风险分析的主要内容</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社会稳定风险分析主要对汕头市城市轨道交通近期建设工程建设和运营可能引起社会风险因素进行分析。针对规划的合法性（政策规划和审批程序）；合理性（征地拆迁及补偿、生态环境、噪声振动、文物、电磁辐射及交通拥堵等）、可行性（规划方案、建设条件和建设时机）、可控性（运营安全、社会舆论）四个方面进行规划“风险调查、风险识别、风险估计、风险防范和化解措施、风险等级综合评判、风险结论”逐层分析。</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规划线路两侧影响范围内的居民、商铺及企事业单位。</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1、公众对该建设方案实施的态度；</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2、该建设方案实施对当地经济发展和交通出行的作用；</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3、该建设方案实施对当地社会稳定有何主要风险；</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4、公众的其他意见和建议。</w:t>
      </w:r>
    </w:p>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四、公众参与主要方式</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即日起，公众可通过电子邮件、信函、电话等方式向主管单位、分析单位发表对轨道交通建设规划和1号线可行性研究社会稳定风险方面的意见和建议。</w:t>
      </w:r>
    </w:p>
    <w:tbl>
      <w:tblPr>
        <w:tblStyle w:val="5"/>
        <w:tblW w:w="13455" w:type="dxa"/>
        <w:tblInd w:w="0" w:type="dxa"/>
        <w:tblLayout w:type="fixed"/>
        <w:tblCellMar>
          <w:top w:w="0" w:type="dxa"/>
          <w:left w:w="108" w:type="dxa"/>
          <w:bottom w:w="0" w:type="dxa"/>
          <w:right w:w="108" w:type="dxa"/>
        </w:tblCellMar>
      </w:tblPr>
      <w:tblGrid>
        <w:gridCol w:w="2247"/>
        <w:gridCol w:w="5309"/>
        <w:gridCol w:w="5899"/>
      </w:tblGrid>
      <w:tr>
        <w:tblPrEx>
          <w:tblLayout w:type="fixed"/>
          <w:tblCellMar>
            <w:top w:w="0" w:type="dxa"/>
            <w:left w:w="108" w:type="dxa"/>
            <w:bottom w:w="0" w:type="dxa"/>
            <w:right w:w="108" w:type="dxa"/>
          </w:tblCellMar>
        </w:tblPrEx>
        <w:trPr>
          <w:trHeight w:val="570" w:hRule="atLeast"/>
        </w:trPr>
        <w:tc>
          <w:tcPr>
            <w:tcW w:w="22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单位名称</w:t>
            </w:r>
          </w:p>
        </w:tc>
        <w:tc>
          <w:tcPr>
            <w:tcW w:w="53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主管单位</w:t>
            </w:r>
          </w:p>
        </w:tc>
        <w:tc>
          <w:tcPr>
            <w:tcW w:w="5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社会稳定风险分析单位</w:t>
            </w:r>
          </w:p>
        </w:tc>
      </w:tr>
      <w:tr>
        <w:tblPrEx>
          <w:tblLayout w:type="fixed"/>
          <w:tblCellMar>
            <w:top w:w="0" w:type="dxa"/>
            <w:left w:w="108" w:type="dxa"/>
            <w:bottom w:w="0" w:type="dxa"/>
            <w:right w:w="108" w:type="dxa"/>
          </w:tblCellMar>
        </w:tblPrEx>
        <w:trPr>
          <w:trHeight w:val="570" w:hRule="atLeast"/>
        </w:trPr>
        <w:tc>
          <w:tcPr>
            <w:tcW w:w="2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汕头市交通运输局</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中铁工程设计咨询集团有限公司</w:t>
            </w:r>
          </w:p>
        </w:tc>
      </w:tr>
      <w:tr>
        <w:tblPrEx>
          <w:tblLayout w:type="fixed"/>
          <w:tblCellMar>
            <w:top w:w="0" w:type="dxa"/>
            <w:left w:w="108" w:type="dxa"/>
            <w:bottom w:w="0" w:type="dxa"/>
            <w:right w:w="108" w:type="dxa"/>
          </w:tblCellMar>
        </w:tblPrEx>
        <w:trPr>
          <w:trHeight w:val="570" w:hRule="atLeast"/>
        </w:trPr>
        <w:tc>
          <w:tcPr>
            <w:tcW w:w="22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地址</w:t>
            </w: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color w:val="000000"/>
                <w:sz w:val="23"/>
                <w:szCs w:val="23"/>
                <w:shd w:val="clear" w:color="auto" w:fill="F9FCFE"/>
              </w:rPr>
              <w:t>广东省汕头市金平区天山北路与春江路交界处（春江大厦）</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北京市丰台区广安路15号</w:t>
            </w:r>
          </w:p>
        </w:tc>
      </w:tr>
      <w:tr>
        <w:tblPrEx>
          <w:tblLayout w:type="fixed"/>
          <w:tblCellMar>
            <w:top w:w="0" w:type="dxa"/>
            <w:left w:w="108" w:type="dxa"/>
            <w:bottom w:w="0" w:type="dxa"/>
            <w:right w:w="108" w:type="dxa"/>
          </w:tblCellMar>
        </w:tblPrEx>
        <w:trPr>
          <w:trHeight w:val="285" w:hRule="atLeast"/>
        </w:trPr>
        <w:tc>
          <w:tcPr>
            <w:tcW w:w="22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邮编</w:t>
            </w: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515000</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100055</w:t>
            </w:r>
          </w:p>
        </w:tc>
      </w:tr>
      <w:tr>
        <w:tblPrEx>
          <w:tblLayout w:type="fixed"/>
          <w:tblCellMar>
            <w:top w:w="0" w:type="dxa"/>
            <w:left w:w="108" w:type="dxa"/>
            <w:bottom w:w="0" w:type="dxa"/>
            <w:right w:w="108" w:type="dxa"/>
          </w:tblCellMar>
        </w:tblPrEx>
        <w:trPr>
          <w:trHeight w:val="285" w:hRule="atLeast"/>
        </w:trPr>
        <w:tc>
          <w:tcPr>
            <w:tcW w:w="22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联系人</w:t>
            </w: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color w:val="000000"/>
                <w:sz w:val="23"/>
                <w:szCs w:val="23"/>
                <w:shd w:val="clear" w:color="auto" w:fill="F9FCFE"/>
              </w:rPr>
              <w:t>王工</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邹卫强</w:t>
            </w:r>
          </w:p>
        </w:tc>
      </w:tr>
      <w:tr>
        <w:tblPrEx>
          <w:tblLayout w:type="fixed"/>
          <w:tblCellMar>
            <w:top w:w="0" w:type="dxa"/>
            <w:left w:w="108" w:type="dxa"/>
            <w:bottom w:w="0" w:type="dxa"/>
            <w:right w:w="108" w:type="dxa"/>
          </w:tblCellMar>
        </w:tblPrEx>
        <w:trPr>
          <w:trHeight w:val="285" w:hRule="atLeast"/>
        </w:trPr>
        <w:tc>
          <w:tcPr>
            <w:tcW w:w="22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010-52696559</w:t>
            </w:r>
          </w:p>
        </w:tc>
      </w:tr>
      <w:tr>
        <w:tblPrEx>
          <w:tblLayout w:type="fixed"/>
          <w:tblCellMar>
            <w:top w:w="0" w:type="dxa"/>
            <w:left w:w="108" w:type="dxa"/>
            <w:bottom w:w="0" w:type="dxa"/>
            <w:right w:w="108" w:type="dxa"/>
          </w:tblCellMar>
        </w:tblPrEx>
        <w:trPr>
          <w:trHeight w:val="285" w:hRule="atLeast"/>
        </w:trPr>
        <w:tc>
          <w:tcPr>
            <w:tcW w:w="22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电子邮箱</w:t>
            </w:r>
          </w:p>
        </w:tc>
        <w:tc>
          <w:tcPr>
            <w:tcW w:w="5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ascii="宋体" w:hAnsi="宋体" w:cs="宋体"/>
                <w:kern w:val="0"/>
                <w:sz w:val="24"/>
                <w:szCs w:val="24"/>
              </w:rPr>
              <w:t>61320226@qq.com</w:t>
            </w:r>
          </w:p>
        </w:tc>
        <w:tc>
          <w:tcPr>
            <w:tcW w:w="5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u w:val="single"/>
              </w:rPr>
            </w:pPr>
            <w:r>
              <w:fldChar w:fldCharType="begin"/>
            </w:r>
            <w:r>
              <w:instrText xml:space="preserve"> HYPERLINK "mailto:zouweiqiang@126.com" </w:instrText>
            </w:r>
            <w:r>
              <w:fldChar w:fldCharType="separate"/>
            </w:r>
            <w:r>
              <w:rPr>
                <w:rStyle w:val="4"/>
                <w:rFonts w:hint="eastAsia" w:ascii="宋体" w:hAnsi="宋体" w:cs="宋体"/>
                <w:color w:val="auto"/>
                <w:kern w:val="0"/>
                <w:sz w:val="24"/>
                <w:szCs w:val="24"/>
              </w:rPr>
              <w:t>zouweiqiang@126.com</w:t>
            </w:r>
            <w:r>
              <w:rPr>
                <w:rStyle w:val="4"/>
                <w:rFonts w:hint="eastAsia" w:ascii="宋体" w:hAnsi="宋体" w:cs="宋体"/>
                <w:color w:val="auto"/>
                <w:kern w:val="0"/>
                <w:sz w:val="24"/>
                <w:szCs w:val="24"/>
              </w:rPr>
              <w:fldChar w:fldCharType="end"/>
            </w:r>
          </w:p>
        </w:tc>
      </w:tr>
    </w:tbl>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五、信息发布有效期限</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自本公示登出后十个工作日内。</w:t>
      </w:r>
    </w:p>
    <w:p>
      <w:pPr>
        <w:widowControl/>
        <w:wordWrap w:val="0"/>
        <w:spacing w:line="500" w:lineRule="exact"/>
        <w:ind w:firstLine="470" w:firstLineChars="196"/>
        <w:jc w:val="right"/>
        <w:rPr>
          <w:rFonts w:ascii="宋体" w:hAnsi="宋体" w:cs="宋体"/>
          <w:kern w:val="0"/>
          <w:sz w:val="24"/>
          <w:szCs w:val="24"/>
        </w:rPr>
      </w:pPr>
      <w:r>
        <w:rPr>
          <w:rFonts w:hint="eastAsia" w:ascii="宋体" w:hAnsi="宋体" w:cs="宋体"/>
          <w:kern w:val="0"/>
          <w:sz w:val="24"/>
          <w:szCs w:val="24"/>
        </w:rPr>
        <w:t xml:space="preserve">汕头市交通运输局      </w:t>
      </w:r>
    </w:p>
    <w:p>
      <w:pPr>
        <w:widowControl/>
        <w:spacing w:line="500" w:lineRule="exact"/>
        <w:ind w:firstLine="9638" w:firstLineChars="4016"/>
        <w:jc w:val="left"/>
        <w:rPr>
          <w:rFonts w:ascii="宋体" w:hAnsi="宋体" w:cs="宋体"/>
          <w:kern w:val="0"/>
          <w:sz w:val="24"/>
          <w:szCs w:val="24"/>
        </w:rPr>
      </w:pPr>
      <w:r>
        <w:rPr>
          <w:rFonts w:hint="eastAsia" w:ascii="宋体" w:hAnsi="宋体" w:cs="宋体"/>
          <w:kern w:val="0"/>
          <w:sz w:val="24"/>
          <w:szCs w:val="24"/>
        </w:rPr>
        <w:t>中铁工程设计咨询集团有限公司</w:t>
      </w:r>
    </w:p>
    <w:p>
      <w:pPr>
        <w:widowControl/>
        <w:spacing w:line="500" w:lineRule="exact"/>
        <w:ind w:firstLine="10346" w:firstLineChars="4311"/>
        <w:jc w:val="left"/>
        <w:rPr>
          <w:rFonts w:ascii="宋体" w:hAnsi="宋体" w:cs="宋体"/>
          <w:kern w:val="0"/>
          <w:sz w:val="24"/>
          <w:szCs w:val="24"/>
        </w:rPr>
      </w:pPr>
      <w:r>
        <w:rPr>
          <w:rFonts w:hint="eastAsia" w:ascii="宋体" w:hAnsi="宋体" w:cs="宋体"/>
          <w:kern w:val="0"/>
          <w:sz w:val="24"/>
          <w:szCs w:val="24"/>
        </w:rPr>
        <w:t>2016年12月9日</w:t>
      </w: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1"/>
    <w:rsid w:val="00031A02"/>
    <w:rsid w:val="000353F5"/>
    <w:rsid w:val="00153475"/>
    <w:rsid w:val="001970ED"/>
    <w:rsid w:val="001F002F"/>
    <w:rsid w:val="002072DF"/>
    <w:rsid w:val="00250AAD"/>
    <w:rsid w:val="002706E3"/>
    <w:rsid w:val="002A07D8"/>
    <w:rsid w:val="002B62A3"/>
    <w:rsid w:val="00303342"/>
    <w:rsid w:val="003415F8"/>
    <w:rsid w:val="00342AE4"/>
    <w:rsid w:val="003437F4"/>
    <w:rsid w:val="00422181"/>
    <w:rsid w:val="004248C1"/>
    <w:rsid w:val="00496C3E"/>
    <w:rsid w:val="004B578C"/>
    <w:rsid w:val="00527A0C"/>
    <w:rsid w:val="00571677"/>
    <w:rsid w:val="005A62DC"/>
    <w:rsid w:val="00631BD5"/>
    <w:rsid w:val="00692E0C"/>
    <w:rsid w:val="0070245D"/>
    <w:rsid w:val="00781CEF"/>
    <w:rsid w:val="007A6125"/>
    <w:rsid w:val="00853362"/>
    <w:rsid w:val="00866B81"/>
    <w:rsid w:val="009530CA"/>
    <w:rsid w:val="00AA1ED8"/>
    <w:rsid w:val="00AA3693"/>
    <w:rsid w:val="00AD61F6"/>
    <w:rsid w:val="00B134C4"/>
    <w:rsid w:val="00BB02E0"/>
    <w:rsid w:val="00BD265D"/>
    <w:rsid w:val="00C463F6"/>
    <w:rsid w:val="00D00217"/>
    <w:rsid w:val="00D36FA3"/>
    <w:rsid w:val="00D726CF"/>
    <w:rsid w:val="00D858E5"/>
    <w:rsid w:val="00D95BE1"/>
    <w:rsid w:val="00DD3F7B"/>
    <w:rsid w:val="00E41713"/>
    <w:rsid w:val="00F428F0"/>
    <w:rsid w:val="00FB0FAA"/>
    <w:rsid w:val="6E1E12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character" w:styleId="4">
    <w:name w:val="Hyperlink"/>
    <w:unhideWhenUsed/>
    <w:uiPriority w:val="99"/>
    <w:rPr>
      <w:color w:val="2D64B3"/>
      <w:u w:val="none"/>
    </w:rPr>
  </w:style>
  <w:style w:type="paragraph" w:customStyle="1" w:styleId="6">
    <w:name w:val="环小四表题"/>
    <w:basedOn w:val="1"/>
    <w:uiPriority w:val="0"/>
    <w:pPr>
      <w:wordWrap w:val="0"/>
      <w:spacing w:line="400" w:lineRule="exact"/>
      <w:jc w:val="right"/>
    </w:pPr>
    <w:rPr>
      <w:rFonts w:ascii="宋体" w:hAnsi="Calibri" w:eastAsia="宋体" w:cs="黑体"/>
      <w:b/>
      <w:sz w:val="24"/>
      <w:szCs w:val="24"/>
    </w:rPr>
  </w:style>
  <w:style w:type="character" w:customStyle="1" w:styleId="7">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Words>
  <Characters>995</Characters>
  <Lines>8</Lines>
  <Paragraphs>2</Paragraphs>
  <TotalTime>0</TotalTime>
  <ScaleCrop>false</ScaleCrop>
  <LinksUpToDate>false</LinksUpToDate>
  <CharactersWithSpaces>1167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2016-10-31T02:44:00Z</dcterms:created>
  <dc:creator>dell</dc:creator>
  <cp:lastModifiedBy>Administrator</cp:lastModifiedBy>
  <cp:lastPrinted>2016-11-24T01:59:00Z</cp:lastPrinted>
  <dcterms:modified xsi:type="dcterms:W3CDTF">2016-12-08T07:46:52Z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