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3" w:leftChars="-88" w:right="-315" w:rightChars="-150" w:hanging="2"/>
        <w:jc w:val="left"/>
        <w:rPr>
          <w:rFonts w:ascii="仿宋" w:hAnsi="仿宋" w:eastAsia="仿宋"/>
          <w:color w:val="000000" w:themeColor="text1"/>
          <w:sz w:val="28"/>
          <w:szCs w:val="32"/>
        </w:rPr>
      </w:pPr>
      <w:r>
        <w:rPr>
          <w:rFonts w:hint="eastAsia" w:ascii="仿宋" w:hAnsi="仿宋" w:eastAsia="仿宋"/>
          <w:color w:val="000000" w:themeColor="text1"/>
          <w:sz w:val="28"/>
          <w:szCs w:val="32"/>
        </w:rPr>
        <w:t>附件1：</w:t>
      </w:r>
    </w:p>
    <w:p>
      <w:pPr>
        <w:ind w:left="-183" w:leftChars="-88" w:right="-315" w:rightChars="-150" w:hanging="2"/>
        <w:jc w:val="left"/>
        <w:rPr>
          <w:rFonts w:ascii="仿宋" w:hAnsi="仿宋" w:eastAsia="仿宋"/>
          <w:color w:val="000000" w:themeColor="text1"/>
          <w:szCs w:val="32"/>
        </w:rPr>
      </w:pPr>
    </w:p>
    <w:p>
      <w:pPr>
        <w:ind w:left="-183" w:leftChars="-88" w:right="-315" w:rightChars="-150" w:hanging="2"/>
        <w:jc w:val="center"/>
        <w:rPr>
          <w:rFonts w:ascii="黑体" w:hAnsi="黑体" w:eastAsia="黑体"/>
          <w:color w:val="000000" w:themeColor="text1"/>
          <w:sz w:val="44"/>
          <w:szCs w:val="44"/>
        </w:rPr>
      </w:pPr>
      <w:r>
        <w:rPr>
          <w:rFonts w:hint="eastAsia" w:ascii="黑体" w:hAnsi="黑体" w:eastAsia="黑体"/>
          <w:color w:val="000000" w:themeColor="text1"/>
          <w:sz w:val="44"/>
          <w:szCs w:val="44"/>
        </w:rPr>
        <w:t>2015年汕头海湾新区决算补充情况说明</w:t>
      </w:r>
    </w:p>
    <w:p>
      <w:pPr>
        <w:ind w:left="-185" w:leftChars="-88" w:right="-315" w:rightChars="-150" w:firstLine="640"/>
        <w:rPr>
          <w:rFonts w:ascii="黑体" w:hAnsi="黑体" w:eastAsia="黑体"/>
          <w:color w:val="000000" w:themeColor="text1"/>
          <w:szCs w:val="32"/>
        </w:rPr>
      </w:pP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现将2015年部门决算情况补充说明如下(数据为零的,请填 “0”。)</w:t>
      </w:r>
    </w:p>
    <w:p>
      <w:pPr>
        <w:spacing w:line="580" w:lineRule="exact"/>
        <w:ind w:left="185" w:leftChars="88" w:right="-315" w:rightChars="-150"/>
        <w:rPr>
          <w:rFonts w:ascii="黑体" w:hAnsi="黑体" w:eastAsia="黑体"/>
          <w:color w:val="000000" w:themeColor="text1"/>
          <w:sz w:val="32"/>
          <w:szCs w:val="32"/>
        </w:rPr>
      </w:pPr>
      <w:r>
        <w:rPr>
          <w:rFonts w:hint="eastAsia" w:ascii="黑体" w:hAnsi="黑体" w:eastAsia="黑体"/>
          <w:color w:val="000000" w:themeColor="text1"/>
          <w:sz w:val="32"/>
          <w:szCs w:val="32"/>
        </w:rPr>
        <w:t>一、基本情况补充说明</w:t>
      </w:r>
    </w:p>
    <w:p>
      <w:pPr>
        <w:spacing w:line="580" w:lineRule="exact"/>
        <w:ind w:left="185" w:leftChars="88" w:right="-315" w:rightChars="-150"/>
        <w:rPr>
          <w:rFonts w:ascii="仿宋" w:hAnsi="仿宋" w:eastAsia="仿宋"/>
          <w:b/>
          <w:color w:val="000000" w:themeColor="text1"/>
          <w:sz w:val="32"/>
          <w:szCs w:val="32"/>
        </w:rPr>
      </w:pPr>
      <w:r>
        <w:rPr>
          <w:rFonts w:hint="eastAsia" w:ascii="仿宋" w:hAnsi="仿宋" w:eastAsia="仿宋"/>
          <w:b/>
          <w:color w:val="000000" w:themeColor="text1"/>
          <w:sz w:val="32"/>
          <w:szCs w:val="32"/>
        </w:rPr>
        <w:t>（一）收支情况说明</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2015年收入决算</w:t>
      </w:r>
      <w:r>
        <w:rPr>
          <w:rFonts w:hint="eastAsia" w:ascii="仿宋" w:hAnsi="仿宋" w:eastAsia="仿宋"/>
          <w:color w:val="000000" w:themeColor="text1"/>
          <w:sz w:val="32"/>
          <w:szCs w:val="32"/>
          <w:u w:val="single"/>
        </w:rPr>
        <w:t>216,799.66</w:t>
      </w:r>
      <w:r>
        <w:rPr>
          <w:rFonts w:hint="eastAsia" w:ascii="仿宋" w:hAnsi="仿宋" w:eastAsia="仿宋"/>
          <w:color w:val="000000" w:themeColor="text1"/>
          <w:sz w:val="32"/>
          <w:szCs w:val="32"/>
        </w:rPr>
        <w:t>万元，比2014年决算数减少</w:t>
      </w:r>
      <w:r>
        <w:rPr>
          <w:rFonts w:hint="eastAsia" w:ascii="仿宋" w:hAnsi="仿宋" w:eastAsia="仿宋"/>
          <w:color w:val="000000" w:themeColor="text1"/>
          <w:sz w:val="32"/>
          <w:szCs w:val="32"/>
          <w:u w:val="single"/>
        </w:rPr>
        <w:t>2210.12</w:t>
      </w:r>
      <w:r>
        <w:rPr>
          <w:rFonts w:hint="eastAsia" w:ascii="仿宋" w:hAnsi="仿宋" w:eastAsia="仿宋"/>
          <w:color w:val="000000" w:themeColor="text1"/>
          <w:sz w:val="32"/>
          <w:szCs w:val="32"/>
        </w:rPr>
        <w:t>万元，原因是东海岸新城项目的投资建设主体中交（汕头）公司上缴的项目前期费用减少。其中：财政拨款收入</w:t>
      </w:r>
      <w:r>
        <w:rPr>
          <w:rFonts w:hint="eastAsia" w:ascii="仿宋" w:hAnsi="仿宋" w:eastAsia="仿宋"/>
          <w:color w:val="000000" w:themeColor="text1"/>
          <w:sz w:val="32"/>
          <w:szCs w:val="32"/>
          <w:u w:val="single"/>
        </w:rPr>
        <w:t>211,765.72</w:t>
      </w:r>
      <w:r>
        <w:rPr>
          <w:rFonts w:hint="eastAsia" w:ascii="仿宋" w:hAnsi="仿宋" w:eastAsia="仿宋"/>
          <w:color w:val="000000" w:themeColor="text1"/>
          <w:sz w:val="32"/>
          <w:szCs w:val="32"/>
        </w:rPr>
        <w:t>万元，比2015年预算数增加</w:t>
      </w:r>
      <w:r>
        <w:rPr>
          <w:rFonts w:hint="eastAsia" w:ascii="仿宋" w:hAnsi="仿宋" w:eastAsia="仿宋"/>
          <w:color w:val="000000" w:themeColor="text1"/>
          <w:sz w:val="32"/>
          <w:szCs w:val="32"/>
          <w:u w:val="single"/>
        </w:rPr>
        <w:t>210282.84</w:t>
      </w:r>
      <w:r>
        <w:rPr>
          <w:rFonts w:hint="eastAsia" w:ascii="仿宋" w:hAnsi="仿宋" w:eastAsia="仿宋"/>
          <w:color w:val="000000" w:themeColor="text1"/>
          <w:sz w:val="32"/>
          <w:szCs w:val="32"/>
        </w:rPr>
        <w:t>万元，原因是土地出让价款收入增加。</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2015年支出决算</w:t>
      </w:r>
      <w:r>
        <w:rPr>
          <w:rFonts w:hint="eastAsia" w:ascii="仿宋" w:hAnsi="仿宋" w:eastAsia="仿宋"/>
          <w:color w:val="000000" w:themeColor="text1"/>
          <w:sz w:val="32"/>
          <w:szCs w:val="32"/>
          <w:u w:val="single"/>
        </w:rPr>
        <w:t>213,884.08</w:t>
      </w:r>
      <w:r>
        <w:rPr>
          <w:rFonts w:hint="eastAsia" w:ascii="仿宋" w:hAnsi="仿宋" w:eastAsia="仿宋"/>
          <w:color w:val="000000" w:themeColor="text1"/>
          <w:sz w:val="32"/>
          <w:szCs w:val="32"/>
        </w:rPr>
        <w:t>万元，比2014年决算数减少</w:t>
      </w:r>
      <w:r>
        <w:rPr>
          <w:rFonts w:hint="eastAsia" w:ascii="仿宋" w:hAnsi="仿宋" w:eastAsia="仿宋"/>
          <w:color w:val="000000" w:themeColor="text1"/>
          <w:sz w:val="32"/>
          <w:szCs w:val="32"/>
          <w:u w:val="single"/>
        </w:rPr>
        <w:t>5,803.65</w:t>
      </w:r>
      <w:r>
        <w:rPr>
          <w:rFonts w:hint="eastAsia" w:ascii="仿宋" w:hAnsi="仿宋" w:eastAsia="仿宋"/>
          <w:color w:val="000000" w:themeColor="text1"/>
          <w:sz w:val="32"/>
          <w:szCs w:val="32"/>
        </w:rPr>
        <w:t>万元，原因是东海岸新城项目的前期费用支出减少。其中：财政拨款支出</w:t>
      </w:r>
      <w:r>
        <w:rPr>
          <w:rFonts w:hint="eastAsia" w:ascii="仿宋" w:hAnsi="仿宋" w:eastAsia="仿宋"/>
          <w:color w:val="000000" w:themeColor="text1"/>
          <w:sz w:val="32"/>
          <w:szCs w:val="32"/>
          <w:u w:val="single"/>
        </w:rPr>
        <w:t>208,215.17</w:t>
      </w:r>
      <w:r>
        <w:rPr>
          <w:rFonts w:hint="eastAsia" w:ascii="仿宋" w:hAnsi="仿宋" w:eastAsia="仿宋"/>
          <w:color w:val="000000" w:themeColor="text1"/>
          <w:sz w:val="32"/>
          <w:szCs w:val="32"/>
        </w:rPr>
        <w:t>万元，比2015年预算数增加</w:t>
      </w:r>
      <w:r>
        <w:rPr>
          <w:rFonts w:hint="eastAsia" w:ascii="仿宋" w:hAnsi="仿宋" w:eastAsia="仿宋"/>
          <w:color w:val="000000" w:themeColor="text1"/>
          <w:sz w:val="32"/>
          <w:szCs w:val="32"/>
          <w:u w:val="single"/>
        </w:rPr>
        <w:t>206732.29</w:t>
      </w:r>
      <w:r>
        <w:rPr>
          <w:rFonts w:hint="eastAsia" w:ascii="仿宋" w:hAnsi="仿宋" w:eastAsia="仿宋"/>
          <w:color w:val="000000" w:themeColor="text1"/>
          <w:sz w:val="32"/>
          <w:szCs w:val="32"/>
        </w:rPr>
        <w:t>万元，原因是返还中交（汕头）公司的投入成本增加。</w:t>
      </w:r>
    </w:p>
    <w:p>
      <w:pPr>
        <w:spacing w:line="580" w:lineRule="exact"/>
        <w:ind w:left="-185" w:leftChars="-88" w:right="-315" w:rightChars="-150" w:firstLine="643"/>
        <w:rPr>
          <w:rFonts w:ascii="仿宋" w:hAnsi="仿宋" w:eastAsia="仿宋"/>
          <w:b/>
          <w:color w:val="000000" w:themeColor="text1"/>
          <w:sz w:val="32"/>
          <w:szCs w:val="32"/>
        </w:rPr>
      </w:pPr>
      <w:r>
        <w:rPr>
          <w:rFonts w:hint="eastAsia" w:ascii="仿宋" w:hAnsi="仿宋" w:eastAsia="仿宋"/>
          <w:b/>
          <w:color w:val="000000" w:themeColor="text1"/>
          <w:sz w:val="32"/>
          <w:szCs w:val="32"/>
        </w:rPr>
        <w:t>（二）“三公”经费支出说明</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2015年“三公”经费财政拨款支出</w:t>
      </w:r>
      <w:r>
        <w:rPr>
          <w:rFonts w:hint="eastAsia" w:ascii="仿宋" w:hAnsi="仿宋" w:eastAsia="仿宋"/>
          <w:color w:val="000000" w:themeColor="text1"/>
          <w:sz w:val="32"/>
          <w:szCs w:val="32"/>
          <w:u w:val="single"/>
        </w:rPr>
        <w:t>136.47</w:t>
      </w:r>
      <w:r>
        <w:rPr>
          <w:rFonts w:hint="eastAsia" w:ascii="仿宋" w:hAnsi="仿宋" w:eastAsia="仿宋"/>
          <w:color w:val="000000" w:themeColor="text1"/>
          <w:sz w:val="32"/>
          <w:szCs w:val="32"/>
        </w:rPr>
        <w:t>万元，比2014年决算数增加</w:t>
      </w:r>
      <w:r>
        <w:rPr>
          <w:rFonts w:hint="eastAsia" w:ascii="仿宋" w:hAnsi="仿宋" w:eastAsia="仿宋"/>
          <w:color w:val="000000" w:themeColor="text1"/>
          <w:sz w:val="32"/>
          <w:szCs w:val="32"/>
          <w:u w:val="single"/>
        </w:rPr>
        <w:t>105.47</w:t>
      </w:r>
      <w:r>
        <w:rPr>
          <w:rFonts w:hint="eastAsia" w:ascii="仿宋" w:hAnsi="仿宋" w:eastAsia="仿宋"/>
          <w:color w:val="000000" w:themeColor="text1"/>
          <w:sz w:val="32"/>
          <w:szCs w:val="32"/>
        </w:rPr>
        <w:t>万元，比2015年预算数增加</w:t>
      </w:r>
      <w:r>
        <w:rPr>
          <w:rFonts w:hint="eastAsia" w:ascii="仿宋" w:hAnsi="仿宋" w:eastAsia="仿宋"/>
          <w:color w:val="000000" w:themeColor="text1"/>
          <w:sz w:val="32"/>
          <w:szCs w:val="32"/>
          <w:u w:val="single"/>
        </w:rPr>
        <w:t>125.47</w:t>
      </w:r>
      <w:r>
        <w:rPr>
          <w:rFonts w:hint="eastAsia" w:ascii="仿宋" w:hAnsi="仿宋" w:eastAsia="仿宋"/>
          <w:color w:val="000000" w:themeColor="text1"/>
          <w:sz w:val="32"/>
          <w:szCs w:val="32"/>
        </w:rPr>
        <w:t>万元，原因是增加出国（境）次数。具体情况如下：</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1.全年使用财政拨款安排本级单位出国（境）团组数为3个、21人次，因公出国（境）费支出</w:t>
      </w:r>
      <w:r>
        <w:rPr>
          <w:rFonts w:hint="eastAsia" w:ascii="仿宋" w:hAnsi="仿宋" w:eastAsia="仿宋"/>
          <w:color w:val="000000" w:themeColor="text1"/>
          <w:sz w:val="32"/>
          <w:szCs w:val="32"/>
          <w:u w:val="single"/>
        </w:rPr>
        <w:t>101</w:t>
      </w:r>
      <w:r>
        <w:rPr>
          <w:rFonts w:hint="eastAsia" w:ascii="仿宋" w:hAnsi="仿宋" w:eastAsia="仿宋"/>
          <w:color w:val="000000" w:themeColor="text1"/>
          <w:sz w:val="32"/>
          <w:szCs w:val="32"/>
        </w:rPr>
        <w:t>万元，比2014年决算数增加</w:t>
      </w:r>
      <w:r>
        <w:rPr>
          <w:rFonts w:hint="eastAsia" w:ascii="仿宋" w:hAnsi="仿宋" w:eastAsia="仿宋"/>
          <w:color w:val="000000" w:themeColor="text1"/>
          <w:sz w:val="32"/>
          <w:szCs w:val="32"/>
          <w:u w:val="single"/>
        </w:rPr>
        <w:t>101</w:t>
      </w:r>
      <w:r>
        <w:rPr>
          <w:rFonts w:hint="eastAsia" w:ascii="仿宋" w:hAnsi="仿宋" w:eastAsia="仿宋"/>
          <w:color w:val="000000" w:themeColor="text1"/>
          <w:sz w:val="32"/>
          <w:szCs w:val="32"/>
        </w:rPr>
        <w:t>万元，比2015年预算数增加</w:t>
      </w:r>
      <w:r>
        <w:rPr>
          <w:rFonts w:hint="eastAsia" w:ascii="仿宋" w:hAnsi="仿宋" w:eastAsia="仿宋"/>
          <w:color w:val="000000" w:themeColor="text1"/>
          <w:sz w:val="32"/>
          <w:szCs w:val="32"/>
          <w:u w:val="single"/>
        </w:rPr>
        <w:t>101</w:t>
      </w:r>
      <w:r>
        <w:rPr>
          <w:rFonts w:hint="eastAsia" w:ascii="仿宋" w:hAnsi="仿宋" w:eastAsia="仿宋"/>
          <w:color w:val="000000" w:themeColor="text1"/>
          <w:sz w:val="32"/>
          <w:szCs w:val="32"/>
        </w:rPr>
        <w:t>万元，原因是由于2014年单位全年无出国（境）活动，因此在编2015年预算时未列出国（境）预算，后来由于市的工作安排，临时增加出国（境）活动，因此产生相关费用。开支内容包括：（1）出国谈判、工作磋商支出76万元，主要用于赴香港、澳门听取侨商侨领对华侨试验区发展规划的意见建议以及同市领导赴欧洲参加中欧区域合作试点地区签约、宣传推介试验区；（2）境外业务培训及考察25万元，主要用于市领导带队出访德国，考察学习德国工业创新经验，并参加德国工业创新管理及信息技术内容授课。</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2.公务用车购置及运行维护费支出</w:t>
      </w:r>
      <w:r>
        <w:rPr>
          <w:rFonts w:hint="eastAsia" w:ascii="仿宋" w:hAnsi="仿宋" w:eastAsia="仿宋"/>
          <w:color w:val="000000" w:themeColor="text1"/>
          <w:sz w:val="32"/>
          <w:szCs w:val="32"/>
          <w:u w:val="single"/>
        </w:rPr>
        <w:t>23.42</w:t>
      </w:r>
      <w:r>
        <w:rPr>
          <w:rFonts w:hint="eastAsia" w:ascii="仿宋" w:hAnsi="仿宋" w:eastAsia="仿宋"/>
          <w:color w:val="000000" w:themeColor="text1"/>
          <w:sz w:val="32"/>
          <w:szCs w:val="32"/>
        </w:rPr>
        <w:t>万元，比2014年决算数增加</w:t>
      </w:r>
      <w:r>
        <w:rPr>
          <w:rFonts w:hint="eastAsia" w:ascii="仿宋" w:hAnsi="仿宋" w:eastAsia="仿宋"/>
          <w:color w:val="000000" w:themeColor="text1"/>
          <w:sz w:val="32"/>
          <w:szCs w:val="32"/>
          <w:u w:val="single"/>
        </w:rPr>
        <w:t>19.4</w:t>
      </w:r>
      <w:r>
        <w:rPr>
          <w:rFonts w:hint="eastAsia" w:ascii="仿宋" w:hAnsi="仿宋" w:eastAsia="仿宋"/>
          <w:color w:val="000000" w:themeColor="text1"/>
          <w:sz w:val="32"/>
          <w:szCs w:val="32"/>
        </w:rPr>
        <w:t>万元，比2015年预算数增加</w:t>
      </w:r>
      <w:r>
        <w:rPr>
          <w:rFonts w:hint="eastAsia" w:ascii="仿宋" w:hAnsi="仿宋" w:eastAsia="仿宋"/>
          <w:color w:val="000000" w:themeColor="text1"/>
          <w:sz w:val="32"/>
          <w:szCs w:val="32"/>
          <w:u w:val="single"/>
        </w:rPr>
        <w:t>18.42</w:t>
      </w:r>
      <w:r>
        <w:rPr>
          <w:rFonts w:hint="eastAsia" w:ascii="仿宋" w:hAnsi="仿宋" w:eastAsia="仿宋"/>
          <w:color w:val="000000" w:themeColor="text1"/>
          <w:sz w:val="32"/>
          <w:szCs w:val="32"/>
        </w:rPr>
        <w:t>万元，原因是车辆老化，使用频繁，公车运行维护费用增加。主要包括：公务车保有量</w:t>
      </w:r>
      <w:r>
        <w:rPr>
          <w:rFonts w:hint="eastAsia" w:ascii="仿宋" w:hAnsi="仿宋" w:eastAsia="仿宋"/>
          <w:color w:val="000000" w:themeColor="text1"/>
          <w:sz w:val="32"/>
          <w:szCs w:val="32"/>
          <w:u w:val="single"/>
        </w:rPr>
        <w:t>5</w:t>
      </w:r>
      <w:r>
        <w:rPr>
          <w:rFonts w:hint="eastAsia" w:ascii="仿宋" w:hAnsi="仿宋" w:eastAsia="仿宋"/>
          <w:color w:val="000000" w:themeColor="text1"/>
          <w:sz w:val="32"/>
          <w:szCs w:val="32"/>
        </w:rPr>
        <w:t>辆，全年运行维护费支出</w:t>
      </w:r>
      <w:r>
        <w:rPr>
          <w:rFonts w:hint="eastAsia" w:ascii="仿宋" w:hAnsi="仿宋" w:eastAsia="仿宋"/>
          <w:color w:val="000000" w:themeColor="text1"/>
          <w:sz w:val="32"/>
          <w:szCs w:val="32"/>
          <w:u w:val="single"/>
        </w:rPr>
        <w:t>23.42</w:t>
      </w:r>
      <w:r>
        <w:rPr>
          <w:rFonts w:hint="eastAsia" w:ascii="仿宋" w:hAnsi="仿宋" w:eastAsia="仿宋"/>
          <w:color w:val="000000" w:themeColor="text1"/>
          <w:sz w:val="32"/>
          <w:szCs w:val="32"/>
        </w:rPr>
        <w:t>万元，平均每辆</w:t>
      </w:r>
      <w:r>
        <w:rPr>
          <w:rFonts w:hint="eastAsia" w:ascii="仿宋" w:hAnsi="仿宋" w:eastAsia="仿宋"/>
          <w:color w:val="000000" w:themeColor="text1"/>
          <w:sz w:val="32"/>
          <w:szCs w:val="32"/>
          <w:u w:val="single"/>
        </w:rPr>
        <w:t>4.684</w:t>
      </w:r>
      <w:r>
        <w:rPr>
          <w:rFonts w:hint="eastAsia" w:ascii="仿宋" w:hAnsi="仿宋" w:eastAsia="仿宋"/>
          <w:color w:val="000000" w:themeColor="text1"/>
          <w:sz w:val="32"/>
          <w:szCs w:val="32"/>
        </w:rPr>
        <w:t>万元。</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3.公务接待批次</w:t>
      </w:r>
      <w:r>
        <w:rPr>
          <w:rFonts w:hint="eastAsia" w:ascii="仿宋" w:hAnsi="仿宋" w:eastAsia="仿宋"/>
          <w:color w:val="000000" w:themeColor="text1"/>
          <w:sz w:val="32"/>
          <w:szCs w:val="32"/>
          <w:u w:val="single"/>
        </w:rPr>
        <w:t>65</w:t>
      </w:r>
      <w:r>
        <w:rPr>
          <w:rFonts w:hint="eastAsia" w:ascii="仿宋" w:hAnsi="仿宋" w:eastAsia="仿宋"/>
          <w:color w:val="000000" w:themeColor="text1"/>
          <w:sz w:val="32"/>
          <w:szCs w:val="32"/>
        </w:rPr>
        <w:t>批，人数约</w:t>
      </w:r>
      <w:r>
        <w:rPr>
          <w:rFonts w:hint="eastAsia" w:ascii="仿宋" w:hAnsi="仿宋" w:eastAsia="仿宋"/>
          <w:color w:val="000000" w:themeColor="text1"/>
          <w:sz w:val="32"/>
          <w:szCs w:val="32"/>
          <w:u w:val="single"/>
        </w:rPr>
        <w:t>1000</w:t>
      </w:r>
      <w:r>
        <w:rPr>
          <w:rFonts w:hint="eastAsia" w:ascii="仿宋" w:hAnsi="仿宋" w:eastAsia="仿宋"/>
          <w:color w:val="000000" w:themeColor="text1"/>
          <w:sz w:val="32"/>
          <w:szCs w:val="32"/>
        </w:rPr>
        <w:t>人，公务接待费支出</w:t>
      </w:r>
      <w:r>
        <w:rPr>
          <w:rFonts w:hint="eastAsia" w:ascii="仿宋" w:hAnsi="仿宋" w:eastAsia="仿宋"/>
          <w:color w:val="000000" w:themeColor="text1"/>
          <w:sz w:val="32"/>
          <w:szCs w:val="32"/>
          <w:u w:val="single"/>
        </w:rPr>
        <w:t>12.05</w:t>
      </w:r>
      <w:r>
        <w:rPr>
          <w:rFonts w:hint="eastAsia" w:ascii="仿宋" w:hAnsi="仿宋" w:eastAsia="仿宋"/>
          <w:color w:val="000000" w:themeColor="text1"/>
          <w:sz w:val="32"/>
          <w:szCs w:val="32"/>
        </w:rPr>
        <w:t>万元，比2014年决算数减少</w:t>
      </w:r>
      <w:r>
        <w:rPr>
          <w:rFonts w:hint="eastAsia" w:ascii="仿宋" w:hAnsi="仿宋" w:eastAsia="仿宋"/>
          <w:color w:val="000000" w:themeColor="text1"/>
          <w:sz w:val="32"/>
          <w:szCs w:val="32"/>
          <w:u w:val="single"/>
        </w:rPr>
        <w:t>14.93</w:t>
      </w:r>
      <w:r>
        <w:rPr>
          <w:rFonts w:hint="eastAsia" w:ascii="仿宋" w:hAnsi="仿宋" w:eastAsia="仿宋"/>
          <w:color w:val="000000" w:themeColor="text1"/>
          <w:sz w:val="32"/>
          <w:szCs w:val="32"/>
        </w:rPr>
        <w:t>万元，比2015年预算数增加</w:t>
      </w:r>
      <w:r>
        <w:rPr>
          <w:rFonts w:hint="eastAsia" w:ascii="仿宋" w:hAnsi="仿宋" w:eastAsia="仿宋"/>
          <w:color w:val="000000" w:themeColor="text1"/>
          <w:sz w:val="32"/>
          <w:szCs w:val="32"/>
          <w:u w:val="single"/>
        </w:rPr>
        <w:t>6.05</w:t>
      </w:r>
      <w:r>
        <w:rPr>
          <w:rFonts w:hint="eastAsia" w:ascii="仿宋" w:hAnsi="仿宋" w:eastAsia="仿宋"/>
          <w:color w:val="000000" w:themeColor="text1"/>
          <w:sz w:val="32"/>
          <w:szCs w:val="32"/>
        </w:rPr>
        <w:t>万元，比2014年减少的原因是贯彻落实八项规定，缩减公务接待支出。比2015年预算增加，主要由于单位机构发生变更，东部经济带管理中心划归华侨试验区管委会管理，所以单位的职能发生了转变。现有的华侨试验区管委会除了负责原东部经济带管理中心管理的东海岸新城项目外，还需要行使华侨试验区直管区内经济管理权限，以及部分社会管理权限。社会各界对华侨试验区也高度重视，各类调研考察、招商引资、宣传报</w:t>
      </w:r>
      <w:bookmarkStart w:id="0" w:name="_GoBack"/>
      <w:bookmarkEnd w:id="0"/>
      <w:r>
        <w:rPr>
          <w:rFonts w:hint="eastAsia" w:ascii="仿宋" w:hAnsi="仿宋" w:eastAsia="仿宋"/>
          <w:color w:val="000000" w:themeColor="text1"/>
          <w:sz w:val="32"/>
          <w:szCs w:val="32"/>
        </w:rPr>
        <w:t>道等活动相应增加，因此公务接待费用超出年初预算。</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b/>
          <w:color w:val="000000" w:themeColor="text1"/>
          <w:sz w:val="32"/>
          <w:szCs w:val="32"/>
        </w:rPr>
        <w:t>（三）机关运行经费支出说明</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2015年本部门（单位）机关运行经费支出</w:t>
      </w:r>
      <w:r>
        <w:rPr>
          <w:rFonts w:hint="eastAsia" w:ascii="仿宋" w:hAnsi="仿宋" w:eastAsia="仿宋"/>
          <w:color w:val="000000" w:themeColor="text1"/>
          <w:sz w:val="32"/>
          <w:szCs w:val="32"/>
          <w:u w:val="single"/>
        </w:rPr>
        <w:t>1.69</w:t>
      </w:r>
      <w:r>
        <w:rPr>
          <w:rFonts w:hint="eastAsia" w:ascii="仿宋" w:hAnsi="仿宋" w:eastAsia="仿宋"/>
          <w:color w:val="000000" w:themeColor="text1"/>
          <w:sz w:val="32"/>
          <w:szCs w:val="32"/>
        </w:rPr>
        <w:t>万元（与部门决算中一般公共预算财政拨款基本支出中公用经费之和保持一致），比2014年减少</w:t>
      </w:r>
      <w:r>
        <w:rPr>
          <w:rFonts w:hint="eastAsia" w:ascii="仿宋" w:hAnsi="仿宋" w:eastAsia="仿宋"/>
          <w:color w:val="000000" w:themeColor="text1"/>
          <w:sz w:val="32"/>
          <w:szCs w:val="32"/>
          <w:u w:val="single"/>
        </w:rPr>
        <w:t>7.77</w:t>
      </w:r>
      <w:r>
        <w:rPr>
          <w:rFonts w:hint="eastAsia" w:ascii="仿宋" w:hAnsi="仿宋" w:eastAsia="仿宋"/>
          <w:color w:val="000000" w:themeColor="text1"/>
          <w:sz w:val="32"/>
          <w:szCs w:val="32"/>
        </w:rPr>
        <w:t>万元，降低</w:t>
      </w:r>
      <w:r>
        <w:rPr>
          <w:rFonts w:hint="eastAsia" w:ascii="仿宋" w:hAnsi="仿宋" w:eastAsia="仿宋"/>
          <w:color w:val="000000" w:themeColor="text1"/>
          <w:sz w:val="32"/>
          <w:szCs w:val="32"/>
          <w:u w:val="single"/>
        </w:rPr>
        <w:t>82.14</w:t>
      </w:r>
      <w:r>
        <w:rPr>
          <w:rFonts w:hint="eastAsia" w:ascii="仿宋" w:hAnsi="仿宋" w:eastAsia="仿宋"/>
          <w:color w:val="000000" w:themeColor="text1"/>
          <w:sz w:val="32"/>
          <w:szCs w:val="32"/>
        </w:rPr>
        <w:t>%。主要原因是公务接待和公车运行维护费用减少。</w:t>
      </w:r>
    </w:p>
    <w:p>
      <w:pPr>
        <w:spacing w:line="580" w:lineRule="exact"/>
        <w:ind w:left="-185" w:leftChars="-88" w:right="-315" w:rightChars="-150" w:firstLine="643"/>
        <w:rPr>
          <w:rFonts w:ascii="仿宋" w:hAnsi="仿宋" w:eastAsia="仿宋"/>
          <w:color w:val="000000" w:themeColor="text1"/>
          <w:sz w:val="32"/>
          <w:szCs w:val="32"/>
        </w:rPr>
      </w:pPr>
      <w:r>
        <w:rPr>
          <w:rFonts w:hint="eastAsia" w:ascii="仿宋" w:hAnsi="仿宋" w:eastAsia="仿宋"/>
          <w:b/>
          <w:color w:val="000000" w:themeColor="text1"/>
          <w:sz w:val="32"/>
          <w:szCs w:val="32"/>
        </w:rPr>
        <w:t>（四）政府采购支出说明</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2015年本部门（单位）政府采购支出总额</w:t>
      </w:r>
      <w:r>
        <w:rPr>
          <w:rFonts w:hint="eastAsia" w:ascii="仿宋" w:hAnsi="仿宋" w:eastAsia="仿宋"/>
          <w:color w:val="000000" w:themeColor="text1"/>
          <w:sz w:val="32"/>
          <w:szCs w:val="32"/>
          <w:u w:val="single"/>
        </w:rPr>
        <w:t>311.194884</w:t>
      </w:r>
      <w:r>
        <w:rPr>
          <w:rFonts w:hint="eastAsia" w:ascii="仿宋" w:hAnsi="仿宋" w:eastAsia="仿宋"/>
          <w:color w:val="000000" w:themeColor="text1"/>
          <w:sz w:val="32"/>
          <w:szCs w:val="32"/>
        </w:rPr>
        <w:t>万元，其中：政府采购货物支出</w:t>
      </w:r>
      <w:r>
        <w:rPr>
          <w:rFonts w:hint="eastAsia" w:ascii="仿宋" w:hAnsi="仿宋" w:eastAsia="仿宋"/>
          <w:color w:val="000000" w:themeColor="text1"/>
          <w:sz w:val="32"/>
          <w:szCs w:val="32"/>
          <w:u w:val="single"/>
        </w:rPr>
        <w:t>257.194884</w:t>
      </w:r>
      <w:r>
        <w:rPr>
          <w:rFonts w:hint="eastAsia" w:ascii="仿宋" w:hAnsi="仿宋" w:eastAsia="仿宋"/>
          <w:color w:val="000000" w:themeColor="text1"/>
          <w:sz w:val="32"/>
          <w:szCs w:val="32"/>
        </w:rPr>
        <w:t>万元、政府采购工程支出</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万元、政府采购服务支出</w:t>
      </w:r>
      <w:r>
        <w:rPr>
          <w:rFonts w:hint="eastAsia" w:ascii="仿宋" w:hAnsi="仿宋" w:eastAsia="仿宋"/>
          <w:color w:val="000000" w:themeColor="text1"/>
          <w:sz w:val="32"/>
          <w:szCs w:val="32"/>
          <w:u w:val="single"/>
        </w:rPr>
        <w:t>54</w:t>
      </w:r>
      <w:r>
        <w:rPr>
          <w:rFonts w:hint="eastAsia" w:ascii="仿宋" w:hAnsi="仿宋" w:eastAsia="仿宋"/>
          <w:color w:val="000000" w:themeColor="text1"/>
          <w:sz w:val="32"/>
          <w:szCs w:val="32"/>
        </w:rPr>
        <w:t>万元。授予中小企业合同金额</w:t>
      </w:r>
      <w:r>
        <w:rPr>
          <w:rFonts w:hint="eastAsia" w:ascii="仿宋" w:hAnsi="仿宋" w:eastAsia="仿宋"/>
          <w:color w:val="000000" w:themeColor="text1"/>
          <w:sz w:val="32"/>
          <w:szCs w:val="32"/>
          <w:u w:val="single"/>
        </w:rPr>
        <w:t>54</w:t>
      </w:r>
      <w:r>
        <w:rPr>
          <w:rFonts w:hint="eastAsia" w:ascii="仿宋" w:hAnsi="仿宋" w:eastAsia="仿宋"/>
          <w:color w:val="000000" w:themeColor="text1"/>
          <w:sz w:val="32"/>
          <w:szCs w:val="32"/>
        </w:rPr>
        <w:t>万元，占政府采购支出总额的</w:t>
      </w:r>
      <w:r>
        <w:rPr>
          <w:rFonts w:hint="eastAsia" w:ascii="仿宋" w:hAnsi="仿宋" w:eastAsia="仿宋"/>
          <w:color w:val="000000" w:themeColor="text1"/>
          <w:sz w:val="32"/>
          <w:szCs w:val="32"/>
          <w:u w:val="single"/>
        </w:rPr>
        <w:t>17.35</w:t>
      </w:r>
      <w:r>
        <w:rPr>
          <w:rFonts w:hint="eastAsia" w:ascii="仿宋" w:hAnsi="仿宋" w:eastAsia="仿宋"/>
          <w:color w:val="000000" w:themeColor="text1"/>
          <w:sz w:val="32"/>
          <w:szCs w:val="32"/>
        </w:rPr>
        <w:t>%，其中：授予小微企业合同金额</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万元，占政府采购支出总额的</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w:t>
      </w:r>
    </w:p>
    <w:p>
      <w:pPr>
        <w:spacing w:line="580" w:lineRule="exact"/>
        <w:ind w:left="-185" w:leftChars="-88" w:right="-315" w:rightChars="-150" w:firstLine="643"/>
        <w:rPr>
          <w:rFonts w:ascii="仿宋" w:hAnsi="仿宋" w:eastAsia="仿宋"/>
          <w:color w:val="000000" w:themeColor="text1"/>
          <w:sz w:val="32"/>
          <w:szCs w:val="32"/>
        </w:rPr>
      </w:pPr>
      <w:r>
        <w:rPr>
          <w:rFonts w:hint="eastAsia" w:ascii="仿宋" w:hAnsi="仿宋" w:eastAsia="仿宋"/>
          <w:b/>
          <w:color w:val="000000" w:themeColor="text1"/>
          <w:sz w:val="32"/>
          <w:szCs w:val="32"/>
        </w:rPr>
        <w:t>（五）国有资产占用情况说明</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截至2015年12月31日，本部门（单位）共有车辆</w:t>
      </w:r>
      <w:r>
        <w:rPr>
          <w:rFonts w:hint="eastAsia" w:ascii="仿宋" w:hAnsi="仿宋" w:eastAsia="仿宋"/>
          <w:color w:val="000000" w:themeColor="text1"/>
          <w:sz w:val="32"/>
          <w:szCs w:val="32"/>
          <w:u w:val="single"/>
        </w:rPr>
        <w:t>5</w:t>
      </w:r>
      <w:r>
        <w:rPr>
          <w:rFonts w:hint="eastAsia" w:ascii="仿宋" w:hAnsi="仿宋" w:eastAsia="仿宋"/>
          <w:color w:val="000000" w:themeColor="text1"/>
          <w:sz w:val="32"/>
          <w:szCs w:val="32"/>
        </w:rPr>
        <w:t>辆，其中，副厅（市）级及以上领导用车</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辆、一般公务用车</w:t>
      </w:r>
      <w:r>
        <w:rPr>
          <w:rFonts w:hint="eastAsia" w:ascii="仿宋" w:hAnsi="仿宋" w:eastAsia="仿宋"/>
          <w:color w:val="000000" w:themeColor="text1"/>
          <w:sz w:val="32"/>
          <w:szCs w:val="32"/>
          <w:u w:val="single"/>
        </w:rPr>
        <w:t>2</w:t>
      </w:r>
      <w:r>
        <w:rPr>
          <w:rFonts w:hint="eastAsia" w:ascii="仿宋" w:hAnsi="仿宋" w:eastAsia="仿宋"/>
          <w:color w:val="000000" w:themeColor="text1"/>
          <w:sz w:val="32"/>
          <w:szCs w:val="32"/>
        </w:rPr>
        <w:t>辆、一般执法执勤用车</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辆、特种专业技术用车</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辆、其他用车</w:t>
      </w:r>
      <w:r>
        <w:rPr>
          <w:rFonts w:hint="eastAsia" w:ascii="仿宋" w:hAnsi="仿宋" w:eastAsia="仿宋"/>
          <w:color w:val="000000" w:themeColor="text1"/>
          <w:sz w:val="32"/>
          <w:szCs w:val="32"/>
          <w:u w:val="single"/>
        </w:rPr>
        <w:t>3</w:t>
      </w:r>
      <w:r>
        <w:rPr>
          <w:rFonts w:hint="eastAsia" w:ascii="仿宋" w:hAnsi="仿宋" w:eastAsia="仿宋"/>
          <w:color w:val="000000" w:themeColor="text1"/>
          <w:sz w:val="32"/>
          <w:szCs w:val="32"/>
        </w:rPr>
        <w:t>辆，其他用车主要是用于往来工地及安全巡查的皮卡；单位价值200万元以上大型设备</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台（套）。</w:t>
      </w:r>
    </w:p>
    <w:p>
      <w:pPr>
        <w:spacing w:line="580" w:lineRule="exact"/>
        <w:ind w:left="-185" w:leftChars="-88" w:right="-315" w:rightChars="-150" w:firstLine="643"/>
        <w:rPr>
          <w:rFonts w:ascii="仿宋" w:hAnsi="仿宋" w:eastAsia="仿宋"/>
          <w:color w:val="000000" w:themeColor="text1"/>
          <w:sz w:val="32"/>
          <w:szCs w:val="32"/>
        </w:rPr>
      </w:pPr>
      <w:r>
        <w:rPr>
          <w:rFonts w:hint="eastAsia" w:ascii="仿宋" w:hAnsi="仿宋" w:eastAsia="仿宋"/>
          <w:b/>
          <w:color w:val="000000" w:themeColor="text1"/>
          <w:sz w:val="32"/>
          <w:szCs w:val="32"/>
        </w:rPr>
        <w:t>（六）预算绩效管理工作开展情况说明</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华侨试验区的东海岸新城项目目前正处于基础设施建设阶段，中交（汕头）公司作为该项目的投资建设主体，由该公司负责投资建设，因此目前尚未达到绩效考阶段。</w:t>
      </w:r>
    </w:p>
    <w:p>
      <w:pPr>
        <w:spacing w:line="580" w:lineRule="exact"/>
        <w:ind w:left="-185" w:leftChars="-88" w:right="-315" w:rightChars="-150" w:firstLine="640"/>
        <w:rPr>
          <w:rFonts w:ascii="黑体" w:hAnsi="黑体" w:eastAsia="黑体"/>
          <w:color w:val="000000" w:themeColor="text1"/>
          <w:sz w:val="32"/>
          <w:szCs w:val="32"/>
        </w:rPr>
      </w:pPr>
      <w:r>
        <w:rPr>
          <w:rFonts w:hint="eastAsia" w:ascii="黑体" w:hAnsi="黑体" w:eastAsia="黑体"/>
          <w:color w:val="000000" w:themeColor="text1"/>
          <w:sz w:val="32"/>
          <w:szCs w:val="32"/>
        </w:rPr>
        <w:t>二、专业名词解释</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财政拨款收入：是指一般公共预算和政府性基金的拨款；</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财政拨款支出：是指使用一般公共预算和政府性基金拨款的支出；</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三公”经费支出：是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pPr>
        <w:spacing w:line="580" w:lineRule="exact"/>
        <w:ind w:left="-185" w:leftChars="-88" w:right="-315" w:rightChars="-150" w:firstLine="640"/>
        <w:rPr>
          <w:rFonts w:ascii="仿宋" w:hAnsi="仿宋" w:eastAsia="仿宋"/>
          <w:color w:val="000000" w:themeColor="text1"/>
          <w:sz w:val="32"/>
          <w:szCs w:val="32"/>
        </w:rPr>
      </w:pPr>
      <w:r>
        <w:rPr>
          <w:rFonts w:hint="eastAsia" w:ascii="仿宋" w:hAnsi="仿宋" w:eastAsia="仿宋"/>
          <w:color w:val="000000" w:themeColor="text1"/>
          <w:sz w:val="32"/>
          <w:szCs w:val="32"/>
        </w:rPr>
        <w:t>机关运行经费支出：是指为保障机关运行，用于购买货物和服务的各项资金。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8AE"/>
    <w:rsid w:val="00002554"/>
    <w:rsid w:val="00012944"/>
    <w:rsid w:val="00043F4D"/>
    <w:rsid w:val="00062240"/>
    <w:rsid w:val="00085847"/>
    <w:rsid w:val="000B204B"/>
    <w:rsid w:val="000B398E"/>
    <w:rsid w:val="000B476E"/>
    <w:rsid w:val="000B63A2"/>
    <w:rsid w:val="000C4FE3"/>
    <w:rsid w:val="000F2518"/>
    <w:rsid w:val="000F4B70"/>
    <w:rsid w:val="001046B8"/>
    <w:rsid w:val="001525F7"/>
    <w:rsid w:val="0015372B"/>
    <w:rsid w:val="001577A8"/>
    <w:rsid w:val="0018091D"/>
    <w:rsid w:val="001A7928"/>
    <w:rsid w:val="001B0210"/>
    <w:rsid w:val="001C40A2"/>
    <w:rsid w:val="001D33CF"/>
    <w:rsid w:val="001E3B29"/>
    <w:rsid w:val="001E6B84"/>
    <w:rsid w:val="001F0B3E"/>
    <w:rsid w:val="0021224B"/>
    <w:rsid w:val="0023075F"/>
    <w:rsid w:val="00237D77"/>
    <w:rsid w:val="00256EC5"/>
    <w:rsid w:val="00273534"/>
    <w:rsid w:val="00281EAE"/>
    <w:rsid w:val="00285AFB"/>
    <w:rsid w:val="002863A6"/>
    <w:rsid w:val="002A1AA2"/>
    <w:rsid w:val="002A4BE1"/>
    <w:rsid w:val="002B60C4"/>
    <w:rsid w:val="002C3E3E"/>
    <w:rsid w:val="002D02FC"/>
    <w:rsid w:val="0030236E"/>
    <w:rsid w:val="0030411C"/>
    <w:rsid w:val="0031124D"/>
    <w:rsid w:val="0032176C"/>
    <w:rsid w:val="00356CE5"/>
    <w:rsid w:val="0036763D"/>
    <w:rsid w:val="0038053D"/>
    <w:rsid w:val="003A1E3C"/>
    <w:rsid w:val="003C207F"/>
    <w:rsid w:val="003D0458"/>
    <w:rsid w:val="003D4970"/>
    <w:rsid w:val="003E15DA"/>
    <w:rsid w:val="004120A6"/>
    <w:rsid w:val="00430788"/>
    <w:rsid w:val="0045210E"/>
    <w:rsid w:val="00464FAF"/>
    <w:rsid w:val="004707B1"/>
    <w:rsid w:val="00472EA3"/>
    <w:rsid w:val="00490D79"/>
    <w:rsid w:val="004C3337"/>
    <w:rsid w:val="004E44C2"/>
    <w:rsid w:val="004E4D49"/>
    <w:rsid w:val="004F3DA0"/>
    <w:rsid w:val="004F58AE"/>
    <w:rsid w:val="00515311"/>
    <w:rsid w:val="0052024D"/>
    <w:rsid w:val="005272E9"/>
    <w:rsid w:val="005519AE"/>
    <w:rsid w:val="00552810"/>
    <w:rsid w:val="00597DA0"/>
    <w:rsid w:val="005A000F"/>
    <w:rsid w:val="005D5C3B"/>
    <w:rsid w:val="005D7E7A"/>
    <w:rsid w:val="005F231C"/>
    <w:rsid w:val="00603A8C"/>
    <w:rsid w:val="0060680E"/>
    <w:rsid w:val="00607C11"/>
    <w:rsid w:val="00652A4C"/>
    <w:rsid w:val="006532CF"/>
    <w:rsid w:val="0067233C"/>
    <w:rsid w:val="006914A2"/>
    <w:rsid w:val="006A2EE7"/>
    <w:rsid w:val="006B1EB3"/>
    <w:rsid w:val="006B3393"/>
    <w:rsid w:val="006C1F8A"/>
    <w:rsid w:val="006C52EE"/>
    <w:rsid w:val="006E6D74"/>
    <w:rsid w:val="006F4C06"/>
    <w:rsid w:val="00700275"/>
    <w:rsid w:val="00700655"/>
    <w:rsid w:val="007346B1"/>
    <w:rsid w:val="00745EB7"/>
    <w:rsid w:val="00780987"/>
    <w:rsid w:val="0078792A"/>
    <w:rsid w:val="00792635"/>
    <w:rsid w:val="007A0257"/>
    <w:rsid w:val="007A6E48"/>
    <w:rsid w:val="007C1C1B"/>
    <w:rsid w:val="007C3A06"/>
    <w:rsid w:val="00800D38"/>
    <w:rsid w:val="00843FA3"/>
    <w:rsid w:val="00845F81"/>
    <w:rsid w:val="00851EF1"/>
    <w:rsid w:val="00862DAA"/>
    <w:rsid w:val="00864EC6"/>
    <w:rsid w:val="0087093A"/>
    <w:rsid w:val="008754F4"/>
    <w:rsid w:val="0087575B"/>
    <w:rsid w:val="008951D4"/>
    <w:rsid w:val="00896AC0"/>
    <w:rsid w:val="008A0E01"/>
    <w:rsid w:val="008A378E"/>
    <w:rsid w:val="008A7979"/>
    <w:rsid w:val="008D221D"/>
    <w:rsid w:val="008D6FB8"/>
    <w:rsid w:val="008E0D97"/>
    <w:rsid w:val="008E56D2"/>
    <w:rsid w:val="00910BAD"/>
    <w:rsid w:val="00921033"/>
    <w:rsid w:val="0092233A"/>
    <w:rsid w:val="009356B1"/>
    <w:rsid w:val="00954D3C"/>
    <w:rsid w:val="00964FCC"/>
    <w:rsid w:val="00972B07"/>
    <w:rsid w:val="00983DCA"/>
    <w:rsid w:val="009957AD"/>
    <w:rsid w:val="00997A29"/>
    <w:rsid w:val="009B658D"/>
    <w:rsid w:val="009D26D6"/>
    <w:rsid w:val="009E5D43"/>
    <w:rsid w:val="009F0D06"/>
    <w:rsid w:val="00A04670"/>
    <w:rsid w:val="00A15853"/>
    <w:rsid w:val="00A16F58"/>
    <w:rsid w:val="00A24613"/>
    <w:rsid w:val="00A35E9A"/>
    <w:rsid w:val="00A53C47"/>
    <w:rsid w:val="00A90ADA"/>
    <w:rsid w:val="00AA1118"/>
    <w:rsid w:val="00AA7808"/>
    <w:rsid w:val="00AD18EB"/>
    <w:rsid w:val="00AE4C4D"/>
    <w:rsid w:val="00AF372C"/>
    <w:rsid w:val="00B4527C"/>
    <w:rsid w:val="00B51363"/>
    <w:rsid w:val="00B60A3E"/>
    <w:rsid w:val="00B8178A"/>
    <w:rsid w:val="00B870DF"/>
    <w:rsid w:val="00B91660"/>
    <w:rsid w:val="00B949F0"/>
    <w:rsid w:val="00B96C8B"/>
    <w:rsid w:val="00BA68C4"/>
    <w:rsid w:val="00BB07BC"/>
    <w:rsid w:val="00BB14DD"/>
    <w:rsid w:val="00BC13CC"/>
    <w:rsid w:val="00BC50B3"/>
    <w:rsid w:val="00BE2734"/>
    <w:rsid w:val="00BF703C"/>
    <w:rsid w:val="00C123C8"/>
    <w:rsid w:val="00C157D4"/>
    <w:rsid w:val="00C53D8A"/>
    <w:rsid w:val="00C558B2"/>
    <w:rsid w:val="00C63CC4"/>
    <w:rsid w:val="00C7747A"/>
    <w:rsid w:val="00C86E83"/>
    <w:rsid w:val="00C91CD5"/>
    <w:rsid w:val="00C969B7"/>
    <w:rsid w:val="00CB3358"/>
    <w:rsid w:val="00CC29E2"/>
    <w:rsid w:val="00D1427B"/>
    <w:rsid w:val="00D34DE3"/>
    <w:rsid w:val="00D42395"/>
    <w:rsid w:val="00D52731"/>
    <w:rsid w:val="00D74CA8"/>
    <w:rsid w:val="00D753F3"/>
    <w:rsid w:val="00D80483"/>
    <w:rsid w:val="00D84E5B"/>
    <w:rsid w:val="00DC6620"/>
    <w:rsid w:val="00DD0125"/>
    <w:rsid w:val="00DF052E"/>
    <w:rsid w:val="00E27208"/>
    <w:rsid w:val="00E77D53"/>
    <w:rsid w:val="00E9171A"/>
    <w:rsid w:val="00EA24C7"/>
    <w:rsid w:val="00EC7431"/>
    <w:rsid w:val="00ED0301"/>
    <w:rsid w:val="00EF13B7"/>
    <w:rsid w:val="00F01444"/>
    <w:rsid w:val="00F01799"/>
    <w:rsid w:val="00F036B3"/>
    <w:rsid w:val="00F05A20"/>
    <w:rsid w:val="00F15DAB"/>
    <w:rsid w:val="00F578DC"/>
    <w:rsid w:val="00F7754C"/>
    <w:rsid w:val="00F8627F"/>
    <w:rsid w:val="00FA2034"/>
    <w:rsid w:val="00FA5B2E"/>
    <w:rsid w:val="00FB78A0"/>
    <w:rsid w:val="00FC16D2"/>
    <w:rsid w:val="00FF60D7"/>
    <w:rsid w:val="23F92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297</Words>
  <Characters>1695</Characters>
  <Lines>14</Lines>
  <Paragraphs>3</Paragraphs>
  <TotalTime>0</TotalTime>
  <ScaleCrop>false</ScaleCrop>
  <LinksUpToDate>false</LinksUpToDate>
  <CharactersWithSpaces>1989</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2016-08-20T03:26:00Z</dcterms:created>
  <dc:creator>辛妙玲</dc:creator>
  <cp:lastModifiedBy>Administrator</cp:lastModifiedBy>
  <cp:lastPrinted>2016-08-26T10:05:00Z</cp:lastPrinted>
  <dcterms:modified xsi:type="dcterms:W3CDTF">2017-08-18T09:28:02Z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