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E8" w:rsidRDefault="00D80AE8" w:rsidP="00D80AE8">
      <w:pPr>
        <w:jc w:val="center"/>
        <w:rPr>
          <w:rFonts w:asciiTheme="majorEastAsia" w:eastAsiaTheme="majorEastAsia" w:hAnsiTheme="majorEastAsia" w:hint="eastAsia"/>
          <w:b/>
          <w:sz w:val="44"/>
          <w:szCs w:val="44"/>
        </w:rPr>
      </w:pPr>
      <w:r w:rsidRPr="00D80AE8">
        <w:rPr>
          <w:rFonts w:asciiTheme="majorEastAsia" w:eastAsiaTheme="majorEastAsia" w:hAnsiTheme="majorEastAsia" w:hint="eastAsia"/>
          <w:b/>
          <w:sz w:val="44"/>
          <w:szCs w:val="44"/>
        </w:rPr>
        <w:t>国务院关于机关事业单位工作人员</w:t>
      </w:r>
    </w:p>
    <w:p w:rsidR="00D80AE8" w:rsidRPr="00D80AE8" w:rsidRDefault="00D80AE8" w:rsidP="00D80AE8">
      <w:pPr>
        <w:jc w:val="center"/>
        <w:rPr>
          <w:rFonts w:asciiTheme="majorEastAsia" w:eastAsiaTheme="majorEastAsia" w:hAnsiTheme="majorEastAsia" w:hint="eastAsia"/>
          <w:b/>
          <w:sz w:val="44"/>
          <w:szCs w:val="44"/>
        </w:rPr>
      </w:pPr>
      <w:r w:rsidRPr="00D80AE8">
        <w:rPr>
          <w:rFonts w:asciiTheme="majorEastAsia" w:eastAsiaTheme="majorEastAsia" w:hAnsiTheme="majorEastAsia" w:hint="eastAsia"/>
          <w:b/>
          <w:sz w:val="44"/>
          <w:szCs w:val="44"/>
        </w:rPr>
        <w:t>养老保险制度改革的决定</w:t>
      </w:r>
    </w:p>
    <w:p w:rsidR="00D80AE8" w:rsidRDefault="00D80AE8" w:rsidP="00D80AE8">
      <w:pPr>
        <w:jc w:val="center"/>
        <w:rPr>
          <w:rFonts w:ascii="仿宋_GB2312" w:eastAsia="仿宋_GB2312" w:hint="eastAsia"/>
          <w:sz w:val="32"/>
          <w:szCs w:val="32"/>
        </w:rPr>
      </w:pPr>
      <w:r w:rsidRPr="00D80AE8">
        <w:rPr>
          <w:rFonts w:ascii="仿宋_GB2312" w:eastAsia="仿宋_GB2312" w:hint="eastAsia"/>
          <w:sz w:val="32"/>
          <w:szCs w:val="32"/>
        </w:rPr>
        <w:t>国发〔2015〕2号</w:t>
      </w:r>
    </w:p>
    <w:p w:rsidR="00D80AE8" w:rsidRDefault="00D80AE8" w:rsidP="00D80AE8">
      <w:pPr>
        <w:rPr>
          <w:rFonts w:ascii="仿宋_GB2312" w:eastAsia="仿宋_GB2312" w:hint="eastAsia"/>
          <w:sz w:val="32"/>
          <w:szCs w:val="32"/>
        </w:rPr>
      </w:pPr>
      <w:r w:rsidRPr="00D80AE8">
        <w:rPr>
          <w:rFonts w:ascii="仿宋_GB2312" w:eastAsia="仿宋_GB2312" w:hint="eastAsia"/>
          <w:sz w:val="32"/>
          <w:szCs w:val="32"/>
        </w:rPr>
        <w:t xml:space="preserve">各省、自治区、直辖市人民政府，国务院各部委、各直属机构：    </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按照党的十八大和十八届三中、四中全会精神，根据《中华人民共和国社会保险法》等相关规定，为统筹城乡社会保障体系建设，建立更加公平、可持续的养老保险制度，国务院决定改革机关事业单位工作人员养老保险制度。</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一、改革的目标和基本原则。以邓小平理论、“三个代表”重要思想、科学发展观为指导，深入贯彻党的十八大、十八届三中、四中全会精神和党中央、国务院决策部署，坚持全覆盖、保基本、多层次、可持续方针，以增强公平性、适应流动性、保证可持续性为重点，改革现行机关事业单位工作人员退休保障制度，逐步建立独立于机关事业单位之外、资金来源多渠道、保障方式多层次、管理服务社会化的养老保险体系。改革应遵循以下基本原则：</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（一）公平与效率相结合。既体现国民收入再分配更加注重公平的要求，又体现工作人员之间贡献大小差别，建立待遇与缴费挂钩机制，多缴多得、长缴多得，提高单位和职工参保缴费的积极性。</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lastRenderedPageBreak/>
        <w:t>（二）权利与义务相对应。机关事业单位工作人员要按照国家规定切实履行缴费义务，享受相应的养老保险待遇，形成责任共担、统筹互济的养老保险筹资和分配机制。</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（三）保障水平与经济发展水平相适应。立足社会主义初级阶段基本国情，合理确定基本养老保险筹资和待遇水平，切实保障退休人员基本生活，促进基本养老保险制度可持续发展。</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四）改革前与改革后待遇水平相衔接。立足增量改革，实现平稳过渡。对改革前已退休人员，保持现有待遇并参加今后的待遇调整；对改革后参加工作的人员，通过建立新机制，实现待遇的合理衔接；对改革前参加工作、改革后退休的人员，通过实行过渡性措施，保持待遇水平不降低。</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五）解决突出矛盾与保证可持续发展相促进。统筹规划、合理安排、量力而行，准确把握改革的节奏和力度，先行解决目前城镇职工基本养老保险制度不统一的突出矛盾，再结合养老保险顶层设计，坚持精算平衡，逐步完善相关制度和政策。</w:t>
      </w:r>
    </w:p>
    <w:p w:rsidR="00D80AE8" w:rsidRP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 xml:space="preserve">二、改革的范围。本决定适用于按照公务员法管理的单位、参照公务员法管理的机关（单位）、事业单位及其编制内的工作人员。 </w:t>
      </w:r>
    </w:p>
    <w:p w:rsidR="00D80AE8" w:rsidRP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lastRenderedPageBreak/>
        <w:t>三、实行社会统筹与个人账户相结合的基本养老保险制度。基本养老保险费由单位和个人共同负担。单位缴纳基本养老保险费（以下简称单位缴费）的比例为本单位工资总额的20%，个人缴纳基本养老保险费（以下简称个人缴费）的比例为本人缴费工资的8%，由单位代扣。按本人缴费工资8%的数额建立基本养老保险个人账户，全部由个人缴费形成。个人工资超过当地上年度在岗职工平均工资300%以上的部分，不计入个人缴费工资基数；低于当地上年度在岗职工平均工资60%的，按当地在岗职工平均工资的60%计算个人缴费工资基数。</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个人账户储存额只用于工作人员养老，不得提前支取，每年按照国家统一公布的记账利率计算利息，免征利息税。参保人员死亡的，个人账户余额可以依法继承。</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四、改革基本养老金计发办法。本决定实施后参加工作、个人缴费年限累计满15年的人员，退休后按月发给基本养老金。基本养老金由基础养老金和个人账户养老金组成。退休时的基础养老金月标准以当地上年度在岗职工月平均工资和本人指数化月平均缴费工资的平均值为基数，缴费每满1年发给1%。个人账户养老金月标准为个人账户储存额除以计发月数，计发月数根据本人退休时城镇人口平均预期寿命、本人退休年龄、利息等因素确定（详见附件）。</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lastRenderedPageBreak/>
        <w:t>本决定实施前参加工作、实施后退休且缴费年限（含视同缴费年限，下同）累计满15年的人员，按照合理衔接、平稳过渡的原则，在发给基础养老金和个人账户养老金的基础上，再依据视同缴费年限长短发给过渡性养老金。具体办法由人力资源社会保障部会同有关部门制定并指导实施。</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本决定实施后达到退休年龄但个人缴费年限累计不满15年的人员，其基本养老保险关系处理和基本养老金计发比照《实施〈中华人民共和国社会保险法〉若干规定》（人力资源社会保障部令第13号）执行。</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本决定实施前已经退休的人员，继续按照国家规定的原待遇标准发放基本养老金，同时执行基本养老金调整办法。</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机关事业单位离休人员仍按照国家统一规定发给离休费，并调整相关待遇。</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五、建立基本养老金正常调整机制。根据职工工资增长和物价变动等情况，统筹安排机关事业单位和企业退休人员的基本养老金调整，逐步建立兼顾各类人员的养老保险待遇正常调整机制，分享经济社会发展成果，保障退休人员基本生活。</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六、加强基金管理和监督。建立健全基本养老保险基金省级统筹；暂不具备条件的，可先实行省级基金调剂制</w:t>
      </w:r>
      <w:r w:rsidRPr="00D80AE8">
        <w:rPr>
          <w:rFonts w:ascii="仿宋_GB2312" w:eastAsia="仿宋_GB2312" w:hint="eastAsia"/>
          <w:sz w:val="32"/>
          <w:szCs w:val="32"/>
        </w:rPr>
        <w:lastRenderedPageBreak/>
        <w:t>度，明确各级人民政府征收、管理和支付的责任。机关事业单位基本养老保险基金单独建账，与企业职工基本养老保险基金分别管理使用。基金实行严格的预算管理，纳入社会保障基金财政专户，实行收支两条线管理，专款专用。依法加强基金监管，确保基金安全。</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七、做好养老保险关系转移接续工作。参保人员在同一统筹范围内的机关事业单位之间流动，只转移养老保险关系，不转移基金。参保人员跨统筹范围流动或在机关事业单位与企业之间流动，在转移养老保险关系的同时，基本养老保险个人账户储存额随同转移，并以本人改革后各年度实际缴费工资为基数，按12%的总和转移基金，参保缴费不足1年的，按实际缴费月数计算转移基金。转移后基本养老保险缴费年限（含视同缴费年限）、个人账户储存额累计计算。</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八、建立职业年金制度。机关事业单位在参加基本养老保险的基础上，应当为其工作人员建立职业年金。单位按本单位工资总额的8%缴费，个人按本人缴费工资的4%缴费。工作人员退休后，按月领取职业年金待遇。职业年金的具体办法由人力资源社会保障部、财政部制定。</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九、建立健全确保养老金发放的筹资机制。机关事业单位及其工作人员应按规定及时足额缴纳养老保险费。各级社会保险征缴机构应切实加强基金征缴，做到应收尽收。</w:t>
      </w:r>
      <w:r w:rsidRPr="00D80AE8">
        <w:rPr>
          <w:rFonts w:ascii="仿宋_GB2312" w:eastAsia="仿宋_GB2312" w:hint="eastAsia"/>
          <w:sz w:val="32"/>
          <w:szCs w:val="32"/>
        </w:rPr>
        <w:lastRenderedPageBreak/>
        <w:t>各级政府应积极调整和优化财政支出结构，加大社会保障资金投入，确保基本养老金按时足额发放，同时为建立职业年金制度提供相应的经费保障，确保机关事业单位养老保险制度改革平稳推进。</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十、逐步实行社会化管理服务。提高机关事业单位社会保险社会化管理服务水平，普遍发放全国统一的社会保障卡，实行基本养老金社会化发放。加强街道、社区人力资源社会保障工作平台建设，加快老年服务设施和服务网络建设，为退休人员提供方便快捷的服务。</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十一、提高社会保险经办管理水平。各地要根据机关事业单位工作人员养老保险制度改革的实际需要，加强社会保险经办机构能力建设，适当充实工作人员，提供必要的经费和服务设施。人力资源社会保障部负责在京中央国家机关及所属事业单位基本养老保险的管理工作，同时集中受托管理其职业年金基金。中央国家机关所属京外单位的基本养老保险实行属地化管理。社会保险经办机构应做好机关事业单位养老保险参保登记、缴费申报、关系转移、待遇核定和支付等工作。要按照国家统一制定的业务经办流程和信息管理系统建设要求，建立健全管理制度，由省级统一集中管理数据资源，实现规范化、信息化和专业化管理，不断提高工作效率和服务质量。</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lastRenderedPageBreak/>
        <w:t>十二、加强组织领导。改革机关事业单位工作人员养老保险制度，直接关系广大机关事业单位工作人员的切身利益，是一项涉及面广、政策性强的工作。各地区、各部门要充分认识改革工作的重大意义，切实加强领导，精心组织实施，向机关事业单位工作人员和社会各界准确解读改革的目标和政策，正确引导舆论，确保此项改革顺利进行。各地区、各部门要按照本决定制定具体的实施意见和办法，报人力资源社会保障部、财政部备案后实施。人力资源社会保障部要会同有关部门制定贯彻本决定的实施意见，加强对改革工作的协调和指导，及时研究解决改革中遇到的问题，确保本决定的贯彻实施。</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本决定自2014年10月1日起实施，已有规定与本决定不一致的，按照本决定执行。</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r w:rsidRPr="00D80AE8">
        <w:rPr>
          <w:rFonts w:ascii="仿宋_GB2312" w:eastAsia="仿宋_GB2312" w:hint="eastAsia"/>
          <w:sz w:val="32"/>
          <w:szCs w:val="32"/>
        </w:rPr>
        <w:t>附件：个人账户养老金计发月数表</w:t>
      </w: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p>
    <w:p w:rsidR="00D80AE8" w:rsidRDefault="00D80AE8" w:rsidP="00D80AE8">
      <w:pPr>
        <w:adjustRightInd/>
        <w:snapToGrid/>
        <w:spacing w:after="0" w:line="360" w:lineRule="auto"/>
        <w:ind w:firstLineChars="200" w:firstLine="640"/>
        <w:contextualSpacing/>
        <w:mirrorIndents/>
        <w:rPr>
          <w:rFonts w:ascii="仿宋_GB2312" w:eastAsia="仿宋_GB2312" w:hint="eastAsia"/>
          <w:sz w:val="32"/>
          <w:szCs w:val="32"/>
        </w:rPr>
      </w:pPr>
    </w:p>
    <w:p w:rsidR="00D80AE8" w:rsidRDefault="00D80AE8" w:rsidP="00D80AE8">
      <w:pPr>
        <w:wordWrap w:val="0"/>
        <w:adjustRightInd/>
        <w:snapToGrid/>
        <w:spacing w:after="0" w:line="360" w:lineRule="auto"/>
        <w:ind w:firstLineChars="200" w:firstLine="640"/>
        <w:contextualSpacing/>
        <w:mirrorIndents/>
        <w:jc w:val="right"/>
        <w:rPr>
          <w:rFonts w:ascii="仿宋_GB2312" w:eastAsia="仿宋_GB2312" w:hint="eastAsia"/>
          <w:sz w:val="32"/>
          <w:szCs w:val="32"/>
        </w:rPr>
      </w:pPr>
      <w:r w:rsidRPr="00D80AE8">
        <w:rPr>
          <w:rFonts w:ascii="仿宋_GB2312" w:eastAsia="仿宋_GB2312" w:hint="eastAsia"/>
          <w:sz w:val="32"/>
          <w:szCs w:val="32"/>
        </w:rPr>
        <w:t>国务院</w:t>
      </w:r>
      <w:r>
        <w:rPr>
          <w:rFonts w:ascii="仿宋_GB2312" w:eastAsia="仿宋_GB2312" w:hint="eastAsia"/>
          <w:sz w:val="32"/>
          <w:szCs w:val="32"/>
        </w:rPr>
        <w:t xml:space="preserve">      </w:t>
      </w:r>
    </w:p>
    <w:p w:rsidR="004358AB" w:rsidRDefault="00D80AE8" w:rsidP="00D80AE8">
      <w:pPr>
        <w:adjustRightInd/>
        <w:snapToGrid/>
        <w:spacing w:after="0" w:line="360" w:lineRule="auto"/>
        <w:ind w:firstLineChars="200" w:firstLine="640"/>
        <w:contextualSpacing/>
        <w:mirrorIndents/>
        <w:jc w:val="right"/>
        <w:rPr>
          <w:rFonts w:ascii="仿宋_GB2312" w:eastAsia="仿宋_GB2312" w:hint="eastAsia"/>
          <w:sz w:val="32"/>
          <w:szCs w:val="32"/>
        </w:rPr>
      </w:pPr>
      <w:r w:rsidRPr="00D80AE8">
        <w:rPr>
          <w:rFonts w:ascii="仿宋_GB2312" w:eastAsia="仿宋_GB2312" w:hint="eastAsia"/>
          <w:sz w:val="32"/>
          <w:szCs w:val="32"/>
        </w:rPr>
        <w:t>2015年1月3日</w:t>
      </w:r>
    </w:p>
    <w:p w:rsidR="00D80AE8" w:rsidRDefault="00D80AE8" w:rsidP="00D80AE8">
      <w:pPr>
        <w:adjustRightInd/>
        <w:snapToGrid/>
        <w:spacing w:after="0" w:line="360" w:lineRule="auto"/>
        <w:ind w:firstLineChars="200" w:firstLine="640"/>
        <w:contextualSpacing/>
        <w:mirrorIndents/>
        <w:jc w:val="right"/>
        <w:rPr>
          <w:rFonts w:ascii="仿宋_GB2312" w:eastAsia="仿宋_GB2312" w:hint="eastAsia"/>
          <w:sz w:val="32"/>
          <w:szCs w:val="32"/>
        </w:rPr>
      </w:pPr>
    </w:p>
    <w:p w:rsidR="00D80AE8" w:rsidRDefault="00D80AE8">
      <w:pPr>
        <w:adjustRightInd/>
        <w:snapToGrid/>
        <w:spacing w:line="220" w:lineRule="atLeast"/>
        <w:rPr>
          <w:rFonts w:ascii="仿宋_GB2312" w:eastAsia="仿宋_GB2312"/>
          <w:sz w:val="32"/>
          <w:szCs w:val="32"/>
        </w:rPr>
      </w:pPr>
      <w:r>
        <w:rPr>
          <w:rFonts w:ascii="仿宋_GB2312" w:eastAsia="仿宋_GB2312"/>
          <w:sz w:val="32"/>
          <w:szCs w:val="32"/>
        </w:rPr>
        <w:br w:type="page"/>
      </w:r>
    </w:p>
    <w:tbl>
      <w:tblPr>
        <w:tblW w:w="67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1687"/>
        <w:gridCol w:w="1687"/>
        <w:gridCol w:w="1688"/>
        <w:gridCol w:w="1688"/>
      </w:tblGrid>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lastRenderedPageBreak/>
              <w:t>退休年龄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计发月数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退休年龄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计发月数</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164</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158</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152</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145</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139</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132</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125</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117</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204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109</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101</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93</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84</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75</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65</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56</w:t>
            </w:r>
          </w:p>
        </w:tc>
      </w:tr>
      <w:tr w:rsidR="00D80AE8" w:rsidRPr="00D80AE8" w:rsidTr="00D80AE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80AE8" w:rsidRPr="00D80AE8" w:rsidRDefault="00D80AE8" w:rsidP="00D80AE8">
            <w:pPr>
              <w:adjustRightInd/>
              <w:snapToGrid/>
              <w:spacing w:after="0" w:line="360" w:lineRule="atLeast"/>
              <w:jc w:val="center"/>
              <w:rPr>
                <w:rFonts w:ascii="宋体" w:eastAsia="宋体" w:hAnsi="宋体" w:cs="宋体"/>
                <w:color w:val="333333"/>
                <w:sz w:val="21"/>
                <w:szCs w:val="21"/>
              </w:rPr>
            </w:pPr>
            <w:r w:rsidRPr="00D80AE8">
              <w:rPr>
                <w:rFonts w:ascii="宋体" w:eastAsia="宋体" w:hAnsi="宋体" w:cs="宋体" w:hint="eastAsia"/>
                <w:color w:val="000000"/>
                <w:sz w:val="21"/>
                <w:szCs w:val="21"/>
              </w:rPr>
              <w:t> </w:t>
            </w:r>
          </w:p>
        </w:tc>
      </w:tr>
    </w:tbl>
    <w:p w:rsidR="00D80AE8" w:rsidRPr="00D80AE8" w:rsidRDefault="00D80AE8" w:rsidP="00D80AE8">
      <w:pPr>
        <w:adjustRightInd/>
        <w:snapToGrid/>
        <w:spacing w:after="0" w:line="360" w:lineRule="auto"/>
        <w:ind w:firstLineChars="200" w:firstLine="640"/>
        <w:contextualSpacing/>
        <w:mirrorIndents/>
        <w:jc w:val="right"/>
        <w:rPr>
          <w:rFonts w:ascii="仿宋_GB2312" w:eastAsia="仿宋_GB2312" w:hint="eastAsia"/>
          <w:sz w:val="32"/>
          <w:szCs w:val="32"/>
        </w:rPr>
      </w:pPr>
    </w:p>
    <w:sectPr w:rsidR="00D80AE8" w:rsidRPr="00D80AE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5E7" w:rsidRDefault="006425E7" w:rsidP="00D80AE8">
      <w:pPr>
        <w:spacing w:after="0"/>
      </w:pPr>
      <w:r>
        <w:separator/>
      </w:r>
    </w:p>
  </w:endnote>
  <w:endnote w:type="continuationSeparator" w:id="0">
    <w:p w:rsidR="006425E7" w:rsidRDefault="006425E7" w:rsidP="00D80A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5E7" w:rsidRDefault="006425E7" w:rsidP="00D80AE8">
      <w:pPr>
        <w:spacing w:after="0"/>
      </w:pPr>
      <w:r>
        <w:separator/>
      </w:r>
    </w:p>
  </w:footnote>
  <w:footnote w:type="continuationSeparator" w:id="0">
    <w:p w:rsidR="006425E7" w:rsidRDefault="006425E7" w:rsidP="00D80AE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425E7"/>
    <w:rsid w:val="008B7726"/>
    <w:rsid w:val="00D31D50"/>
    <w:rsid w:val="00D66A6F"/>
    <w:rsid w:val="00D80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AE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0AE8"/>
    <w:rPr>
      <w:rFonts w:ascii="Tahoma" w:hAnsi="Tahoma"/>
      <w:sz w:val="18"/>
      <w:szCs w:val="18"/>
    </w:rPr>
  </w:style>
  <w:style w:type="paragraph" w:styleId="a4">
    <w:name w:val="footer"/>
    <w:basedOn w:val="a"/>
    <w:link w:val="Char0"/>
    <w:uiPriority w:val="99"/>
    <w:semiHidden/>
    <w:unhideWhenUsed/>
    <w:rsid w:val="00D80AE8"/>
    <w:pPr>
      <w:tabs>
        <w:tab w:val="center" w:pos="4153"/>
        <w:tab w:val="right" w:pos="8306"/>
      </w:tabs>
    </w:pPr>
    <w:rPr>
      <w:sz w:val="18"/>
      <w:szCs w:val="18"/>
    </w:rPr>
  </w:style>
  <w:style w:type="character" w:customStyle="1" w:styleId="Char0">
    <w:name w:val="页脚 Char"/>
    <w:basedOn w:val="a0"/>
    <w:link w:val="a4"/>
    <w:uiPriority w:val="99"/>
    <w:semiHidden/>
    <w:rsid w:val="00D80AE8"/>
    <w:rPr>
      <w:rFonts w:ascii="Tahoma" w:hAnsi="Tahoma"/>
      <w:sz w:val="18"/>
      <w:szCs w:val="18"/>
    </w:rPr>
  </w:style>
  <w:style w:type="paragraph" w:styleId="a5">
    <w:name w:val="Date"/>
    <w:basedOn w:val="a"/>
    <w:next w:val="a"/>
    <w:link w:val="Char1"/>
    <w:uiPriority w:val="99"/>
    <w:semiHidden/>
    <w:unhideWhenUsed/>
    <w:rsid w:val="00D80AE8"/>
    <w:pPr>
      <w:ind w:leftChars="2500" w:left="100"/>
    </w:pPr>
  </w:style>
  <w:style w:type="character" w:customStyle="1" w:styleId="Char1">
    <w:name w:val="日期 Char"/>
    <w:basedOn w:val="a0"/>
    <w:link w:val="a5"/>
    <w:uiPriority w:val="99"/>
    <w:semiHidden/>
    <w:rsid w:val="00D80AE8"/>
    <w:rPr>
      <w:rFonts w:ascii="Tahoma" w:hAnsi="Tahoma"/>
    </w:rPr>
  </w:style>
  <w:style w:type="paragraph" w:styleId="a6">
    <w:name w:val="Normal (Web)"/>
    <w:basedOn w:val="a"/>
    <w:uiPriority w:val="99"/>
    <w:unhideWhenUsed/>
    <w:rsid w:val="00D80AE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05544319">
      <w:bodyDiv w:val="1"/>
      <w:marLeft w:val="0"/>
      <w:marRight w:val="0"/>
      <w:marTop w:val="0"/>
      <w:marBottom w:val="0"/>
      <w:divBdr>
        <w:top w:val="none" w:sz="0" w:space="0" w:color="auto"/>
        <w:left w:val="none" w:sz="0" w:space="0" w:color="auto"/>
        <w:bottom w:val="none" w:sz="0" w:space="0" w:color="auto"/>
        <w:right w:val="none" w:sz="0" w:space="0" w:color="auto"/>
      </w:divBdr>
    </w:div>
    <w:div w:id="1308361150">
      <w:bodyDiv w:val="1"/>
      <w:marLeft w:val="0"/>
      <w:marRight w:val="0"/>
      <w:marTop w:val="0"/>
      <w:marBottom w:val="0"/>
      <w:divBdr>
        <w:top w:val="none" w:sz="0" w:space="0" w:color="auto"/>
        <w:left w:val="none" w:sz="0" w:space="0" w:color="auto"/>
        <w:bottom w:val="none" w:sz="0" w:space="0" w:color="auto"/>
        <w:right w:val="none" w:sz="0" w:space="0" w:color="auto"/>
      </w:divBdr>
      <w:divsChild>
        <w:div w:id="1407148633">
          <w:marLeft w:val="0"/>
          <w:marRight w:val="0"/>
          <w:marTop w:val="0"/>
          <w:marBottom w:val="90"/>
          <w:divBdr>
            <w:top w:val="single" w:sz="6" w:space="0" w:color="D3D3D3"/>
            <w:left w:val="single" w:sz="6" w:space="0" w:color="D3D3D3"/>
            <w:bottom w:val="single" w:sz="6" w:space="0" w:color="D3D3D3"/>
            <w:right w:val="single" w:sz="6" w:space="0" w:color="D3D3D3"/>
          </w:divBdr>
          <w:divsChild>
            <w:div w:id="1842351934">
              <w:marLeft w:val="75"/>
              <w:marRight w:val="75"/>
              <w:marTop w:val="0"/>
              <w:marBottom w:val="0"/>
              <w:divBdr>
                <w:top w:val="none" w:sz="0" w:space="0" w:color="auto"/>
                <w:left w:val="none" w:sz="0" w:space="0" w:color="auto"/>
                <w:bottom w:val="none" w:sz="0" w:space="0" w:color="auto"/>
                <w:right w:val="none" w:sz="0" w:space="0" w:color="auto"/>
              </w:divBdr>
              <w:divsChild>
                <w:div w:id="1963071673">
                  <w:marLeft w:val="0"/>
                  <w:marRight w:val="0"/>
                  <w:marTop w:val="0"/>
                  <w:marBottom w:val="0"/>
                  <w:divBdr>
                    <w:top w:val="none" w:sz="0" w:space="0" w:color="auto"/>
                    <w:left w:val="none" w:sz="0" w:space="0" w:color="auto"/>
                    <w:bottom w:val="none" w:sz="0" w:space="0" w:color="auto"/>
                    <w:right w:val="none" w:sz="0" w:space="0" w:color="auto"/>
                  </w:divBdr>
                  <w:divsChild>
                    <w:div w:id="1456604610">
                      <w:marLeft w:val="0"/>
                      <w:marRight w:val="0"/>
                      <w:marTop w:val="0"/>
                      <w:marBottom w:val="0"/>
                      <w:divBdr>
                        <w:top w:val="none" w:sz="0" w:space="0" w:color="auto"/>
                        <w:left w:val="none" w:sz="0" w:space="0" w:color="auto"/>
                        <w:bottom w:val="none" w:sz="0" w:space="0" w:color="auto"/>
                        <w:right w:val="none" w:sz="0" w:space="0" w:color="auto"/>
                      </w:divBdr>
                      <w:divsChild>
                        <w:div w:id="1157038719">
                          <w:marLeft w:val="0"/>
                          <w:marRight w:val="0"/>
                          <w:marTop w:val="0"/>
                          <w:marBottom w:val="0"/>
                          <w:divBdr>
                            <w:top w:val="none" w:sz="0" w:space="0" w:color="auto"/>
                            <w:left w:val="none" w:sz="0" w:space="0" w:color="auto"/>
                            <w:bottom w:val="none" w:sz="0" w:space="0" w:color="auto"/>
                            <w:right w:val="none" w:sz="0" w:space="0" w:color="auto"/>
                          </w:divBdr>
                          <w:divsChild>
                            <w:div w:id="758016326">
                              <w:marLeft w:val="0"/>
                              <w:marRight w:val="0"/>
                              <w:marTop w:val="0"/>
                              <w:marBottom w:val="0"/>
                              <w:divBdr>
                                <w:top w:val="none" w:sz="0" w:space="0" w:color="auto"/>
                                <w:left w:val="none" w:sz="0" w:space="0" w:color="auto"/>
                                <w:bottom w:val="none" w:sz="0" w:space="0" w:color="auto"/>
                                <w:right w:val="none" w:sz="0" w:space="0" w:color="auto"/>
                              </w:divBdr>
                              <w:divsChild>
                                <w:div w:id="1750881734">
                                  <w:marLeft w:val="0"/>
                                  <w:marRight w:val="0"/>
                                  <w:marTop w:val="0"/>
                                  <w:marBottom w:val="0"/>
                                  <w:divBdr>
                                    <w:top w:val="none" w:sz="0" w:space="0" w:color="auto"/>
                                    <w:left w:val="none" w:sz="0" w:space="0" w:color="auto"/>
                                    <w:bottom w:val="none" w:sz="0" w:space="0" w:color="auto"/>
                                    <w:right w:val="none" w:sz="0" w:space="0" w:color="auto"/>
                                  </w:divBdr>
                                  <w:divsChild>
                                    <w:div w:id="10121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1056">
          <w:marLeft w:val="0"/>
          <w:marRight w:val="0"/>
          <w:marTop w:val="0"/>
          <w:marBottom w:val="90"/>
          <w:divBdr>
            <w:top w:val="single" w:sz="6" w:space="0" w:color="D3D3D3"/>
            <w:left w:val="single" w:sz="6" w:space="0" w:color="D3D3D3"/>
            <w:bottom w:val="single" w:sz="6" w:space="0" w:color="D3D3D3"/>
            <w:right w:val="single" w:sz="6" w:space="0" w:color="D3D3D3"/>
          </w:divBdr>
          <w:divsChild>
            <w:div w:id="387873812">
              <w:marLeft w:val="75"/>
              <w:marRight w:val="75"/>
              <w:marTop w:val="0"/>
              <w:marBottom w:val="0"/>
              <w:divBdr>
                <w:top w:val="none" w:sz="0" w:space="0" w:color="auto"/>
                <w:left w:val="none" w:sz="0" w:space="0" w:color="auto"/>
                <w:bottom w:val="none" w:sz="0" w:space="0" w:color="auto"/>
                <w:right w:val="none" w:sz="0" w:space="0" w:color="auto"/>
              </w:divBdr>
              <w:divsChild>
                <w:div w:id="2134668680">
                  <w:marLeft w:val="0"/>
                  <w:marRight w:val="0"/>
                  <w:marTop w:val="0"/>
                  <w:marBottom w:val="0"/>
                  <w:divBdr>
                    <w:top w:val="none" w:sz="0" w:space="0" w:color="auto"/>
                    <w:left w:val="none" w:sz="0" w:space="0" w:color="auto"/>
                    <w:bottom w:val="none" w:sz="0" w:space="0" w:color="auto"/>
                    <w:right w:val="none" w:sz="0" w:space="0" w:color="auto"/>
                  </w:divBdr>
                  <w:divsChild>
                    <w:div w:id="1424912018">
                      <w:marLeft w:val="0"/>
                      <w:marRight w:val="0"/>
                      <w:marTop w:val="0"/>
                      <w:marBottom w:val="0"/>
                      <w:divBdr>
                        <w:top w:val="none" w:sz="0" w:space="0" w:color="auto"/>
                        <w:left w:val="none" w:sz="0" w:space="0" w:color="auto"/>
                        <w:bottom w:val="none" w:sz="0" w:space="0" w:color="auto"/>
                        <w:right w:val="none" w:sz="0" w:space="0" w:color="auto"/>
                      </w:divBdr>
                      <w:divsChild>
                        <w:div w:id="186218944">
                          <w:marLeft w:val="0"/>
                          <w:marRight w:val="0"/>
                          <w:marTop w:val="0"/>
                          <w:marBottom w:val="0"/>
                          <w:divBdr>
                            <w:top w:val="none" w:sz="0" w:space="0" w:color="auto"/>
                            <w:left w:val="none" w:sz="0" w:space="0" w:color="auto"/>
                            <w:bottom w:val="none" w:sz="0" w:space="0" w:color="auto"/>
                            <w:right w:val="none" w:sz="0" w:space="0" w:color="auto"/>
                          </w:divBdr>
                          <w:divsChild>
                            <w:div w:id="782117167">
                              <w:marLeft w:val="0"/>
                              <w:marRight w:val="0"/>
                              <w:marTop w:val="0"/>
                              <w:marBottom w:val="0"/>
                              <w:divBdr>
                                <w:top w:val="none" w:sz="0" w:space="0" w:color="auto"/>
                                <w:left w:val="none" w:sz="0" w:space="0" w:color="auto"/>
                                <w:bottom w:val="none" w:sz="0" w:space="0" w:color="auto"/>
                                <w:right w:val="none" w:sz="0" w:space="0" w:color="auto"/>
                              </w:divBdr>
                              <w:divsChild>
                                <w:div w:id="1940285605">
                                  <w:marLeft w:val="0"/>
                                  <w:marRight w:val="0"/>
                                  <w:marTop w:val="0"/>
                                  <w:marBottom w:val="0"/>
                                  <w:divBdr>
                                    <w:top w:val="none" w:sz="0" w:space="0" w:color="auto"/>
                                    <w:left w:val="none" w:sz="0" w:space="0" w:color="auto"/>
                                    <w:bottom w:val="none" w:sz="0" w:space="0" w:color="auto"/>
                                    <w:right w:val="none" w:sz="0" w:space="0" w:color="auto"/>
                                  </w:divBdr>
                                  <w:divsChild>
                                    <w:div w:id="712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729063">
          <w:marLeft w:val="0"/>
          <w:marRight w:val="0"/>
          <w:marTop w:val="0"/>
          <w:marBottom w:val="90"/>
          <w:divBdr>
            <w:top w:val="single" w:sz="6" w:space="0" w:color="D3D3D3"/>
            <w:left w:val="single" w:sz="6" w:space="0" w:color="D3D3D3"/>
            <w:bottom w:val="single" w:sz="6" w:space="0" w:color="D3D3D3"/>
            <w:right w:val="single" w:sz="6" w:space="0" w:color="D3D3D3"/>
          </w:divBdr>
          <w:divsChild>
            <w:div w:id="773942954">
              <w:marLeft w:val="75"/>
              <w:marRight w:val="75"/>
              <w:marTop w:val="0"/>
              <w:marBottom w:val="0"/>
              <w:divBdr>
                <w:top w:val="none" w:sz="0" w:space="0" w:color="auto"/>
                <w:left w:val="none" w:sz="0" w:space="0" w:color="auto"/>
                <w:bottom w:val="none" w:sz="0" w:space="0" w:color="auto"/>
                <w:right w:val="none" w:sz="0" w:space="0" w:color="auto"/>
              </w:divBdr>
              <w:divsChild>
                <w:div w:id="1157913728">
                  <w:marLeft w:val="0"/>
                  <w:marRight w:val="0"/>
                  <w:marTop w:val="0"/>
                  <w:marBottom w:val="0"/>
                  <w:divBdr>
                    <w:top w:val="none" w:sz="0" w:space="0" w:color="auto"/>
                    <w:left w:val="none" w:sz="0" w:space="0" w:color="auto"/>
                    <w:bottom w:val="none" w:sz="0" w:space="0" w:color="auto"/>
                    <w:right w:val="none" w:sz="0" w:space="0" w:color="auto"/>
                  </w:divBdr>
                  <w:divsChild>
                    <w:div w:id="1271352053">
                      <w:marLeft w:val="0"/>
                      <w:marRight w:val="0"/>
                      <w:marTop w:val="0"/>
                      <w:marBottom w:val="0"/>
                      <w:divBdr>
                        <w:top w:val="none" w:sz="0" w:space="0" w:color="auto"/>
                        <w:left w:val="none" w:sz="0" w:space="0" w:color="auto"/>
                        <w:bottom w:val="none" w:sz="0" w:space="0" w:color="auto"/>
                        <w:right w:val="none" w:sz="0" w:space="0" w:color="auto"/>
                      </w:divBdr>
                      <w:divsChild>
                        <w:div w:id="1525944793">
                          <w:marLeft w:val="0"/>
                          <w:marRight w:val="0"/>
                          <w:marTop w:val="0"/>
                          <w:marBottom w:val="0"/>
                          <w:divBdr>
                            <w:top w:val="none" w:sz="0" w:space="0" w:color="auto"/>
                            <w:left w:val="none" w:sz="0" w:space="0" w:color="auto"/>
                            <w:bottom w:val="none" w:sz="0" w:space="0" w:color="auto"/>
                            <w:right w:val="none" w:sz="0" w:space="0" w:color="auto"/>
                          </w:divBdr>
                          <w:divsChild>
                            <w:div w:id="1800151935">
                              <w:marLeft w:val="0"/>
                              <w:marRight w:val="0"/>
                              <w:marTop w:val="0"/>
                              <w:marBottom w:val="0"/>
                              <w:divBdr>
                                <w:top w:val="none" w:sz="0" w:space="0" w:color="auto"/>
                                <w:left w:val="none" w:sz="0" w:space="0" w:color="auto"/>
                                <w:bottom w:val="none" w:sz="0" w:space="0" w:color="auto"/>
                                <w:right w:val="none" w:sz="0" w:space="0" w:color="auto"/>
                              </w:divBdr>
                              <w:divsChild>
                                <w:div w:id="23874017">
                                  <w:marLeft w:val="0"/>
                                  <w:marRight w:val="0"/>
                                  <w:marTop w:val="0"/>
                                  <w:marBottom w:val="0"/>
                                  <w:divBdr>
                                    <w:top w:val="none" w:sz="0" w:space="0" w:color="auto"/>
                                    <w:left w:val="none" w:sz="0" w:space="0" w:color="auto"/>
                                    <w:bottom w:val="none" w:sz="0" w:space="0" w:color="auto"/>
                                    <w:right w:val="none" w:sz="0" w:space="0" w:color="auto"/>
                                  </w:divBdr>
                                  <w:divsChild>
                                    <w:div w:id="7501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90701">
          <w:marLeft w:val="0"/>
          <w:marRight w:val="0"/>
          <w:marTop w:val="0"/>
          <w:marBottom w:val="90"/>
          <w:divBdr>
            <w:top w:val="single" w:sz="6" w:space="0" w:color="D3D3D3"/>
            <w:left w:val="single" w:sz="6" w:space="0" w:color="D3D3D3"/>
            <w:bottom w:val="single" w:sz="6" w:space="0" w:color="D3D3D3"/>
            <w:right w:val="single" w:sz="6" w:space="0" w:color="D3D3D3"/>
          </w:divBdr>
          <w:divsChild>
            <w:div w:id="326174921">
              <w:marLeft w:val="75"/>
              <w:marRight w:val="75"/>
              <w:marTop w:val="0"/>
              <w:marBottom w:val="0"/>
              <w:divBdr>
                <w:top w:val="none" w:sz="0" w:space="0" w:color="auto"/>
                <w:left w:val="none" w:sz="0" w:space="0" w:color="auto"/>
                <w:bottom w:val="none" w:sz="0" w:space="0" w:color="auto"/>
                <w:right w:val="none" w:sz="0" w:space="0" w:color="auto"/>
              </w:divBdr>
              <w:divsChild>
                <w:div w:id="916092430">
                  <w:marLeft w:val="0"/>
                  <w:marRight w:val="0"/>
                  <w:marTop w:val="0"/>
                  <w:marBottom w:val="0"/>
                  <w:divBdr>
                    <w:top w:val="none" w:sz="0" w:space="0" w:color="auto"/>
                    <w:left w:val="none" w:sz="0" w:space="0" w:color="auto"/>
                    <w:bottom w:val="none" w:sz="0" w:space="0" w:color="auto"/>
                    <w:right w:val="none" w:sz="0" w:space="0" w:color="auto"/>
                  </w:divBdr>
                  <w:divsChild>
                    <w:div w:id="288636483">
                      <w:marLeft w:val="0"/>
                      <w:marRight w:val="0"/>
                      <w:marTop w:val="0"/>
                      <w:marBottom w:val="0"/>
                      <w:divBdr>
                        <w:top w:val="none" w:sz="0" w:space="0" w:color="auto"/>
                        <w:left w:val="none" w:sz="0" w:space="0" w:color="auto"/>
                        <w:bottom w:val="none" w:sz="0" w:space="0" w:color="auto"/>
                        <w:right w:val="none" w:sz="0" w:space="0" w:color="auto"/>
                      </w:divBdr>
                      <w:divsChild>
                        <w:div w:id="7105887">
                          <w:marLeft w:val="0"/>
                          <w:marRight w:val="0"/>
                          <w:marTop w:val="0"/>
                          <w:marBottom w:val="0"/>
                          <w:divBdr>
                            <w:top w:val="none" w:sz="0" w:space="0" w:color="auto"/>
                            <w:left w:val="none" w:sz="0" w:space="0" w:color="auto"/>
                            <w:bottom w:val="none" w:sz="0" w:space="0" w:color="auto"/>
                            <w:right w:val="none" w:sz="0" w:space="0" w:color="auto"/>
                          </w:divBdr>
                          <w:divsChild>
                            <w:div w:id="2142572525">
                              <w:marLeft w:val="0"/>
                              <w:marRight w:val="0"/>
                              <w:marTop w:val="0"/>
                              <w:marBottom w:val="0"/>
                              <w:divBdr>
                                <w:top w:val="none" w:sz="0" w:space="0" w:color="auto"/>
                                <w:left w:val="none" w:sz="0" w:space="0" w:color="auto"/>
                                <w:bottom w:val="none" w:sz="0" w:space="0" w:color="auto"/>
                                <w:right w:val="none" w:sz="0" w:space="0" w:color="auto"/>
                              </w:divBdr>
                              <w:divsChild>
                                <w:div w:id="1756324267">
                                  <w:marLeft w:val="0"/>
                                  <w:marRight w:val="0"/>
                                  <w:marTop w:val="0"/>
                                  <w:marBottom w:val="0"/>
                                  <w:divBdr>
                                    <w:top w:val="none" w:sz="0" w:space="0" w:color="auto"/>
                                    <w:left w:val="none" w:sz="0" w:space="0" w:color="auto"/>
                                    <w:bottom w:val="none" w:sz="0" w:space="0" w:color="auto"/>
                                    <w:right w:val="none" w:sz="0" w:space="0" w:color="auto"/>
                                  </w:divBdr>
                                  <w:divsChild>
                                    <w:div w:id="13016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2015-04-09T13:19:00Z</dcterms:modified>
</cp:coreProperties>
</file>