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32D" w:rsidRDefault="00840E0B">
      <w:pPr>
        <w:jc w:val="center"/>
        <w:rPr>
          <w:b/>
          <w:bCs/>
          <w:sz w:val="40"/>
          <w:szCs w:val="40"/>
        </w:rPr>
      </w:pPr>
      <w:r>
        <w:rPr>
          <w:rFonts w:hint="eastAsia"/>
          <w:b/>
          <w:bCs/>
          <w:sz w:val="40"/>
          <w:szCs w:val="40"/>
        </w:rPr>
        <w:t>企业决算报表填报应注意事项</w:t>
      </w:r>
    </w:p>
    <w:p w:rsidR="00E6432D" w:rsidRDefault="00840E0B">
      <w:pPr>
        <w:rPr>
          <w:b/>
          <w:bCs/>
          <w:sz w:val="24"/>
        </w:rPr>
      </w:pPr>
      <w:r>
        <w:rPr>
          <w:rFonts w:hint="eastAsia"/>
          <w:b/>
          <w:bCs/>
          <w:sz w:val="28"/>
          <w:szCs w:val="28"/>
        </w:rPr>
        <w:t>一、</w:t>
      </w:r>
      <w:r>
        <w:rPr>
          <w:rFonts w:hint="eastAsia"/>
          <w:b/>
          <w:bCs/>
          <w:sz w:val="30"/>
          <w:szCs w:val="30"/>
        </w:rPr>
        <w:t>报表封面填写</w:t>
      </w:r>
    </w:p>
    <w:p w:rsidR="00E6432D" w:rsidRDefault="00840E0B">
      <w:pPr>
        <w:numPr>
          <w:ilvl w:val="0"/>
          <w:numId w:val="1"/>
        </w:numPr>
        <w:spacing w:beforeLines="50" w:before="156" w:afterLines="50" w:after="156" w:line="360" w:lineRule="auto"/>
        <w:rPr>
          <w:rFonts w:ascii="宋体" w:eastAsia="宋体" w:hAnsi="宋体" w:cs="宋体"/>
          <w:sz w:val="24"/>
        </w:rPr>
      </w:pPr>
      <w:r>
        <w:rPr>
          <w:rFonts w:ascii="宋体" w:eastAsia="宋体" w:hAnsi="宋体" w:cs="宋体" w:hint="eastAsia"/>
          <w:sz w:val="24"/>
        </w:rPr>
        <w:t>“电话号码”要填写正确，确保可以找到填表人。</w:t>
      </w:r>
    </w:p>
    <w:p w:rsidR="00E6432D" w:rsidRDefault="00840E0B">
      <w:pPr>
        <w:numPr>
          <w:ilvl w:val="0"/>
          <w:numId w:val="1"/>
        </w:numPr>
        <w:spacing w:beforeLines="50" w:before="156" w:afterLines="50" w:after="156" w:line="360" w:lineRule="auto"/>
        <w:rPr>
          <w:rFonts w:ascii="宋体" w:eastAsia="宋体" w:hAnsi="宋体" w:cs="宋体"/>
          <w:sz w:val="24"/>
        </w:rPr>
      </w:pPr>
      <w:r>
        <w:rPr>
          <w:rFonts w:ascii="宋体" w:eastAsia="宋体" w:hAnsi="宋体" w:cs="宋体" w:hint="eastAsia"/>
          <w:sz w:val="24"/>
        </w:rPr>
        <w:t>组织机构代码：本代码由企业代码、上一级企业（单位）代码、集团企业（公司）总部代码三部分组成。非集团型企业只需填列“本企业代码”、不需填报“上一级企业（单位）代码”和“集团企业（公司）总部代码”。部门管理的企业尤其要注意。</w:t>
      </w:r>
    </w:p>
    <w:p w:rsidR="00E6432D" w:rsidRDefault="00840E0B">
      <w:pPr>
        <w:numPr>
          <w:ilvl w:val="0"/>
          <w:numId w:val="1"/>
        </w:numPr>
        <w:spacing w:beforeLines="50" w:before="156" w:afterLines="50" w:after="156" w:line="360" w:lineRule="auto"/>
        <w:rPr>
          <w:rFonts w:ascii="宋体" w:eastAsia="宋体" w:hAnsi="宋体" w:cs="宋体"/>
          <w:sz w:val="24"/>
        </w:rPr>
      </w:pPr>
      <w:r>
        <w:rPr>
          <w:rFonts w:ascii="宋体" w:eastAsia="宋体" w:hAnsi="宋体" w:cs="宋体" w:hint="eastAsia"/>
          <w:sz w:val="24"/>
        </w:rPr>
        <w:t>企业代码：统一社会信用代码的第9至17位就是组织机构代码，组织机构代码是不变的。</w:t>
      </w:r>
    </w:p>
    <w:p w:rsidR="00E6432D" w:rsidRDefault="00840E0B">
      <w:pPr>
        <w:numPr>
          <w:ilvl w:val="0"/>
          <w:numId w:val="1"/>
        </w:numPr>
        <w:spacing w:beforeLines="50" w:before="156" w:afterLines="50" w:after="156" w:line="360" w:lineRule="auto"/>
        <w:rPr>
          <w:rFonts w:ascii="宋体" w:eastAsia="宋体" w:hAnsi="宋体" w:cs="宋体"/>
          <w:sz w:val="24"/>
        </w:rPr>
      </w:pPr>
      <w:r>
        <w:rPr>
          <w:rFonts w:ascii="宋体" w:eastAsia="宋体" w:hAnsi="宋体" w:cs="宋体" w:hint="eastAsia"/>
          <w:sz w:val="24"/>
        </w:rPr>
        <w:t>“行政隶属关系代码”同“所在地区”要区别开来，前者是指所归属的财政关系，后者是指企业自身所处的地理位置。</w:t>
      </w:r>
    </w:p>
    <w:p w:rsidR="00E6432D" w:rsidRDefault="00840E0B">
      <w:pPr>
        <w:numPr>
          <w:ilvl w:val="0"/>
          <w:numId w:val="1"/>
        </w:numPr>
        <w:spacing w:beforeLines="50" w:before="156" w:afterLines="50" w:after="156" w:line="360" w:lineRule="auto"/>
        <w:rPr>
          <w:rFonts w:ascii="宋体" w:eastAsia="宋体" w:hAnsi="宋体" w:cs="宋体"/>
          <w:sz w:val="24"/>
        </w:rPr>
      </w:pPr>
      <w:r>
        <w:rPr>
          <w:rFonts w:ascii="宋体" w:eastAsia="宋体" w:hAnsi="宋体" w:cs="宋体" w:hint="eastAsia"/>
          <w:sz w:val="24"/>
        </w:rPr>
        <w:t>“国民经济行业分类与代码” 、“经济类型” 、“组织形式”一定要选到</w:t>
      </w:r>
      <w:proofErr w:type="gramStart"/>
      <w:r>
        <w:rPr>
          <w:rFonts w:ascii="宋体" w:eastAsia="宋体" w:hAnsi="宋体" w:cs="宋体" w:hint="eastAsia"/>
          <w:sz w:val="24"/>
        </w:rPr>
        <w:t>最末级</w:t>
      </w:r>
      <w:proofErr w:type="gramEnd"/>
      <w:r>
        <w:rPr>
          <w:rFonts w:ascii="宋体" w:eastAsia="宋体" w:hAnsi="宋体" w:cs="宋体" w:hint="eastAsia"/>
          <w:sz w:val="24"/>
        </w:rPr>
        <w:t>选项。</w:t>
      </w:r>
    </w:p>
    <w:p w:rsidR="00E6432D" w:rsidRDefault="00840E0B">
      <w:pPr>
        <w:numPr>
          <w:ilvl w:val="0"/>
          <w:numId w:val="1"/>
        </w:numPr>
        <w:spacing w:beforeLines="50" w:before="156" w:afterLines="50" w:after="156" w:line="360" w:lineRule="auto"/>
        <w:rPr>
          <w:rFonts w:ascii="宋体" w:eastAsia="宋体" w:hAnsi="宋体" w:cs="宋体"/>
          <w:sz w:val="24"/>
        </w:rPr>
      </w:pPr>
      <w:r>
        <w:rPr>
          <w:rFonts w:ascii="宋体" w:eastAsia="宋体" w:hAnsi="宋体" w:cs="宋体" w:hint="eastAsia"/>
          <w:sz w:val="24"/>
        </w:rPr>
        <w:t>审计方式，如果不是社会中介机构审计，应选“未经审计”，不要选“内部审计机构审计”。如选择社会中介机构审计，应填写报表审计机构、审计报告签字人，选择审计意见类型。</w:t>
      </w:r>
    </w:p>
    <w:p w:rsidR="00E6432D" w:rsidRDefault="00840E0B">
      <w:pPr>
        <w:numPr>
          <w:ilvl w:val="0"/>
          <w:numId w:val="1"/>
        </w:numPr>
        <w:spacing w:beforeLines="50" w:before="156" w:afterLines="50" w:after="156" w:line="360" w:lineRule="auto"/>
        <w:rPr>
          <w:rFonts w:ascii="宋体" w:eastAsia="宋体" w:hAnsi="宋体" w:cs="宋体"/>
          <w:sz w:val="24"/>
        </w:rPr>
      </w:pPr>
      <w:r>
        <w:rPr>
          <w:rFonts w:ascii="宋体" w:eastAsia="宋体" w:hAnsi="宋体" w:cs="宋体" w:hint="eastAsia"/>
          <w:sz w:val="24"/>
        </w:rPr>
        <w:t>上年组织机构代码，不是简单的把当年的“组织机构代码”+“0”，而是把去年单位报数时使用的“组织机构代码”+“报表类型”进行填写，比如去年某单位上报的代码有误，今年的“上年组织机构代码” 要填上去年错填的代码，系统才能找到这个单位，使</w:t>
      </w:r>
      <w:bookmarkStart w:id="0" w:name="_GoBack"/>
      <w:bookmarkEnd w:id="0"/>
      <w:r>
        <w:rPr>
          <w:rFonts w:ascii="宋体" w:eastAsia="宋体" w:hAnsi="宋体" w:cs="宋体" w:hint="eastAsia"/>
          <w:sz w:val="24"/>
        </w:rPr>
        <w:t>用“提取上年数”等功能。</w:t>
      </w:r>
    </w:p>
    <w:p w:rsidR="00E6432D" w:rsidRDefault="00840E0B">
      <w:pPr>
        <w:numPr>
          <w:ilvl w:val="0"/>
          <w:numId w:val="1"/>
        </w:numPr>
        <w:spacing w:beforeLines="50" w:before="156" w:afterLines="50" w:after="156" w:line="360" w:lineRule="auto"/>
        <w:rPr>
          <w:rFonts w:ascii="宋体" w:eastAsia="宋体" w:hAnsi="宋体" w:cs="宋体"/>
          <w:sz w:val="24"/>
        </w:rPr>
      </w:pPr>
      <w:r>
        <w:rPr>
          <w:rFonts w:ascii="宋体" w:eastAsia="宋体" w:hAnsi="宋体" w:cs="宋体" w:hint="eastAsia"/>
          <w:sz w:val="24"/>
        </w:rPr>
        <w:t>报表类型码，注册地为国外的企业，应选择“境外子企业表”，并需填报“</w:t>
      </w:r>
      <w:r w:rsidR="008949B4" w:rsidRPr="008949B4">
        <w:rPr>
          <w:rFonts w:ascii="宋体" w:eastAsia="宋体" w:hAnsi="宋体" w:cs="宋体" w:hint="eastAsia"/>
          <w:sz w:val="24"/>
        </w:rPr>
        <w:t>国有企业境外投资情况表</w:t>
      </w:r>
      <w:r>
        <w:rPr>
          <w:rFonts w:ascii="宋体" w:eastAsia="宋体" w:hAnsi="宋体" w:cs="宋体" w:hint="eastAsia"/>
          <w:sz w:val="24"/>
        </w:rPr>
        <w:t>” 。</w:t>
      </w:r>
    </w:p>
    <w:p w:rsidR="00E6432D" w:rsidRDefault="00840E0B">
      <w:pPr>
        <w:numPr>
          <w:ilvl w:val="0"/>
          <w:numId w:val="2"/>
        </w:numPr>
        <w:spacing w:beforeLines="50" w:before="156" w:afterLines="50" w:after="156" w:line="360" w:lineRule="auto"/>
        <w:rPr>
          <w:rFonts w:ascii="宋体" w:eastAsia="宋体" w:hAnsi="宋体" w:cs="宋体"/>
          <w:b/>
          <w:bCs/>
          <w:sz w:val="30"/>
          <w:szCs w:val="30"/>
        </w:rPr>
      </w:pPr>
      <w:r>
        <w:rPr>
          <w:rFonts w:ascii="宋体" w:eastAsia="宋体" w:hAnsi="宋体" w:cs="宋体" w:hint="eastAsia"/>
          <w:b/>
          <w:bCs/>
          <w:sz w:val="30"/>
          <w:szCs w:val="30"/>
        </w:rPr>
        <w:t>数据填报</w:t>
      </w:r>
    </w:p>
    <w:p w:rsidR="00E6432D" w:rsidRDefault="00840E0B">
      <w:pPr>
        <w:numPr>
          <w:ilvl w:val="0"/>
          <w:numId w:val="3"/>
        </w:numPr>
        <w:spacing w:beforeLines="50" w:before="156" w:afterLines="50" w:after="156" w:line="360" w:lineRule="auto"/>
        <w:rPr>
          <w:rFonts w:ascii="Arial" w:eastAsia="宋体" w:hAnsi="Arial" w:cs="Arial"/>
          <w:color w:val="000000" w:themeColor="text1"/>
          <w:sz w:val="24"/>
        </w:rPr>
      </w:pPr>
      <w:r>
        <w:rPr>
          <w:rFonts w:ascii="宋体" w:eastAsia="宋体" w:hAnsi="宋体" w:cs="宋体" w:hint="eastAsia"/>
          <w:b/>
          <w:bCs/>
          <w:sz w:val="24"/>
        </w:rPr>
        <w:t>《利润表》：</w:t>
      </w:r>
    </w:p>
    <w:p w:rsidR="00E6432D" w:rsidRDefault="00840E0B">
      <w:pPr>
        <w:numPr>
          <w:ilvl w:val="0"/>
          <w:numId w:val="4"/>
        </w:numPr>
        <w:spacing w:beforeLines="50" w:before="156" w:afterLines="50" w:after="156" w:line="360" w:lineRule="auto"/>
        <w:rPr>
          <w:rFonts w:ascii="Arial" w:eastAsia="宋体" w:hAnsi="Arial" w:cs="Arial"/>
          <w:color w:val="000000" w:themeColor="text1"/>
          <w:sz w:val="24"/>
        </w:rPr>
      </w:pPr>
      <w:r>
        <w:rPr>
          <w:rFonts w:ascii="宋体" w:eastAsia="宋体" w:hAnsi="宋体" w:cs="宋体" w:hint="eastAsia"/>
          <w:sz w:val="24"/>
        </w:rPr>
        <w:t>营业利润项目之上新增的其他收益，</w:t>
      </w:r>
      <w:r w:rsidR="002151A7">
        <w:rPr>
          <w:rFonts w:ascii="宋体" w:eastAsia="宋体" w:hAnsi="宋体" w:cs="宋体" w:hint="eastAsia"/>
          <w:sz w:val="24"/>
        </w:rPr>
        <w:t>包括</w:t>
      </w:r>
      <w:r>
        <w:rPr>
          <w:rFonts w:ascii="宋体" w:eastAsia="宋体" w:hAnsi="宋体" w:cs="宋体" w:hint="eastAsia"/>
          <w:sz w:val="24"/>
        </w:rPr>
        <w:t>与企业日常活动相关的政府补助</w:t>
      </w:r>
      <w:r>
        <w:rPr>
          <w:rFonts w:ascii="宋体" w:eastAsia="宋体" w:hAnsi="宋体" w:cs="宋体" w:hint="eastAsia"/>
          <w:color w:val="000000" w:themeColor="text1"/>
          <w:sz w:val="24"/>
        </w:rPr>
        <w:t>。</w:t>
      </w:r>
      <w:r>
        <w:rPr>
          <w:rFonts w:ascii="Arial" w:eastAsia="宋体" w:hAnsi="Arial" w:cs="Arial"/>
          <w:color w:val="000000" w:themeColor="text1"/>
          <w:sz w:val="24"/>
        </w:rPr>
        <w:t>与企</w:t>
      </w:r>
      <w:r>
        <w:rPr>
          <w:rFonts w:ascii="Arial" w:eastAsia="宋体" w:hAnsi="Arial" w:cs="Arial"/>
          <w:color w:val="000000" w:themeColor="text1"/>
          <w:sz w:val="24"/>
        </w:rPr>
        <w:lastRenderedPageBreak/>
        <w:t>业日常活动无关的政府补助，应当计入营业外收</w:t>
      </w:r>
      <w:r>
        <w:rPr>
          <w:rFonts w:ascii="Arial" w:eastAsia="宋体" w:hAnsi="Arial" w:cs="Arial" w:hint="eastAsia"/>
          <w:color w:val="000000" w:themeColor="text1"/>
          <w:sz w:val="24"/>
        </w:rPr>
        <w:t>入。</w:t>
      </w:r>
    </w:p>
    <w:p w:rsidR="00E6432D" w:rsidRDefault="00840E0B">
      <w:pPr>
        <w:numPr>
          <w:ilvl w:val="0"/>
          <w:numId w:val="4"/>
        </w:numPr>
        <w:spacing w:beforeLines="50" w:before="156" w:afterLines="50" w:after="156" w:line="360" w:lineRule="auto"/>
        <w:rPr>
          <w:rFonts w:ascii="Arial" w:eastAsia="宋体" w:hAnsi="Arial" w:cs="Arial"/>
          <w:color w:val="000000" w:themeColor="text1"/>
          <w:sz w:val="24"/>
        </w:rPr>
      </w:pPr>
      <w:r>
        <w:rPr>
          <w:rFonts w:ascii="Arial" w:eastAsia="宋体" w:hAnsi="Arial" w:cs="Arial" w:hint="eastAsia"/>
          <w:color w:val="000000" w:themeColor="text1"/>
          <w:sz w:val="24"/>
        </w:rPr>
        <w:t>“净利润”项目之下新增“持续经营损益”与“终止经营损益”</w:t>
      </w:r>
      <w:r>
        <w:rPr>
          <w:rFonts w:ascii="Arial" w:eastAsia="宋体" w:hAnsi="Arial" w:cs="Arial" w:hint="eastAsia"/>
          <w:color w:val="000000" w:themeColor="text1"/>
          <w:sz w:val="24"/>
        </w:rPr>
        <w:t xml:space="preserve"> </w:t>
      </w:r>
      <w:r>
        <w:rPr>
          <w:rFonts w:ascii="Arial" w:eastAsia="宋体" w:hAnsi="Arial" w:cs="Arial" w:hint="eastAsia"/>
          <w:color w:val="000000" w:themeColor="text1"/>
          <w:sz w:val="24"/>
        </w:rPr>
        <w:t>明细项目，净利润</w:t>
      </w:r>
      <w:r>
        <w:rPr>
          <w:rFonts w:ascii="Arial" w:eastAsia="宋体" w:hAnsi="Arial" w:cs="Arial" w:hint="eastAsia"/>
          <w:color w:val="000000" w:themeColor="text1"/>
          <w:sz w:val="24"/>
        </w:rPr>
        <w:t>=</w:t>
      </w:r>
      <w:r>
        <w:rPr>
          <w:rFonts w:ascii="Arial" w:eastAsia="宋体" w:hAnsi="Arial" w:cs="Arial" w:hint="eastAsia"/>
          <w:color w:val="000000" w:themeColor="text1"/>
          <w:sz w:val="24"/>
        </w:rPr>
        <w:t>持续经营损益</w:t>
      </w:r>
      <w:r>
        <w:rPr>
          <w:rFonts w:ascii="Arial" w:eastAsia="宋体" w:hAnsi="Arial" w:cs="Arial" w:hint="eastAsia"/>
          <w:color w:val="000000" w:themeColor="text1"/>
          <w:sz w:val="24"/>
        </w:rPr>
        <w:t>+</w:t>
      </w:r>
      <w:r w:rsidR="00240F72">
        <w:rPr>
          <w:rFonts w:ascii="Arial" w:eastAsia="宋体" w:hAnsi="Arial" w:cs="Arial" w:hint="eastAsia"/>
          <w:color w:val="000000" w:themeColor="text1"/>
          <w:sz w:val="24"/>
        </w:rPr>
        <w:t>终止经营损益，持续经营</w:t>
      </w:r>
      <w:proofErr w:type="gramStart"/>
      <w:r w:rsidR="00240F72">
        <w:rPr>
          <w:rFonts w:ascii="Arial" w:eastAsia="宋体" w:hAnsi="Arial" w:cs="Arial" w:hint="eastAsia"/>
          <w:color w:val="000000" w:themeColor="text1"/>
          <w:sz w:val="24"/>
        </w:rPr>
        <w:t>损益系</w:t>
      </w:r>
      <w:proofErr w:type="gramEnd"/>
      <w:r w:rsidR="00240F72">
        <w:rPr>
          <w:rFonts w:ascii="Arial" w:eastAsia="宋体" w:hAnsi="Arial" w:cs="Arial" w:hint="eastAsia"/>
          <w:color w:val="000000" w:themeColor="text1"/>
          <w:sz w:val="24"/>
        </w:rPr>
        <w:t>正常经营状况下通过经营活动产生</w:t>
      </w:r>
      <w:r>
        <w:rPr>
          <w:rFonts w:ascii="Arial" w:eastAsia="宋体" w:hAnsi="Arial" w:cs="Arial" w:hint="eastAsia"/>
          <w:color w:val="000000" w:themeColor="text1"/>
          <w:sz w:val="24"/>
        </w:rPr>
        <w:t>的损益，终止经营损益主要系企业可单独区分的组成部分（比如一项生产业务）因终止经营而处置或出售而</w:t>
      </w:r>
      <w:r w:rsidR="00240F72">
        <w:rPr>
          <w:rFonts w:ascii="Arial" w:eastAsia="宋体" w:hAnsi="Arial" w:cs="Arial" w:hint="eastAsia"/>
          <w:color w:val="000000" w:themeColor="text1"/>
          <w:sz w:val="24"/>
        </w:rPr>
        <w:t>产生</w:t>
      </w:r>
      <w:r>
        <w:rPr>
          <w:rFonts w:ascii="Arial" w:eastAsia="宋体" w:hAnsi="Arial" w:cs="Arial" w:hint="eastAsia"/>
          <w:color w:val="000000" w:themeColor="text1"/>
          <w:sz w:val="24"/>
        </w:rPr>
        <w:t>的损益，同时也包括平时处置报废资产而</w:t>
      </w:r>
      <w:r w:rsidR="00240F72">
        <w:rPr>
          <w:rFonts w:ascii="Arial" w:eastAsia="宋体" w:hAnsi="Arial" w:cs="Arial" w:hint="eastAsia"/>
          <w:color w:val="000000" w:themeColor="text1"/>
          <w:sz w:val="24"/>
        </w:rPr>
        <w:t>产生</w:t>
      </w:r>
      <w:r>
        <w:rPr>
          <w:rFonts w:ascii="Arial" w:eastAsia="宋体" w:hAnsi="Arial" w:cs="Arial" w:hint="eastAsia"/>
          <w:color w:val="000000" w:themeColor="text1"/>
          <w:sz w:val="24"/>
        </w:rPr>
        <w:t>的损益。（若企业想更</w:t>
      </w:r>
      <w:r w:rsidR="002151A7">
        <w:rPr>
          <w:rFonts w:ascii="Arial" w:eastAsia="宋体" w:hAnsi="Arial" w:cs="Arial" w:hint="eastAsia"/>
          <w:color w:val="000000" w:themeColor="text1"/>
          <w:sz w:val="24"/>
        </w:rPr>
        <w:t>清晰</w:t>
      </w:r>
      <w:r>
        <w:rPr>
          <w:rFonts w:ascii="Arial" w:eastAsia="宋体" w:hAnsi="Arial" w:cs="Arial" w:hint="eastAsia"/>
          <w:color w:val="000000" w:themeColor="text1"/>
          <w:sz w:val="24"/>
        </w:rPr>
        <w:t>的了解相关会计准则，可了解企业会计准则第</w:t>
      </w:r>
      <w:r>
        <w:rPr>
          <w:rFonts w:ascii="Arial" w:eastAsia="宋体" w:hAnsi="Arial" w:cs="Arial" w:hint="eastAsia"/>
          <w:color w:val="000000" w:themeColor="text1"/>
          <w:sz w:val="24"/>
        </w:rPr>
        <w:t>42</w:t>
      </w:r>
      <w:r>
        <w:rPr>
          <w:rFonts w:ascii="Arial" w:eastAsia="宋体" w:hAnsi="Arial" w:cs="Arial" w:hint="eastAsia"/>
          <w:color w:val="000000" w:themeColor="text1"/>
          <w:sz w:val="24"/>
        </w:rPr>
        <w:t>号——持有待售的非流动资产、</w:t>
      </w:r>
      <w:proofErr w:type="gramStart"/>
      <w:r>
        <w:rPr>
          <w:rFonts w:ascii="Arial" w:eastAsia="宋体" w:hAnsi="Arial" w:cs="Arial" w:hint="eastAsia"/>
          <w:color w:val="000000" w:themeColor="text1"/>
          <w:sz w:val="24"/>
        </w:rPr>
        <w:t>处置组</w:t>
      </w:r>
      <w:proofErr w:type="gramEnd"/>
      <w:r>
        <w:rPr>
          <w:rFonts w:ascii="Arial" w:eastAsia="宋体" w:hAnsi="Arial" w:cs="Arial" w:hint="eastAsia"/>
          <w:color w:val="000000" w:themeColor="text1"/>
          <w:sz w:val="24"/>
        </w:rPr>
        <w:t>和终止经营（财会〔</w:t>
      </w:r>
      <w:r>
        <w:rPr>
          <w:rFonts w:ascii="Arial" w:eastAsia="宋体" w:hAnsi="Arial" w:cs="Arial" w:hint="eastAsia"/>
          <w:color w:val="000000" w:themeColor="text1"/>
          <w:sz w:val="24"/>
        </w:rPr>
        <w:t>2017</w:t>
      </w:r>
      <w:r>
        <w:rPr>
          <w:rFonts w:ascii="Arial" w:eastAsia="宋体" w:hAnsi="Arial" w:cs="Arial" w:hint="eastAsia"/>
          <w:color w:val="000000" w:themeColor="text1"/>
          <w:sz w:val="24"/>
        </w:rPr>
        <w:t>〕</w:t>
      </w:r>
      <w:r>
        <w:rPr>
          <w:rFonts w:ascii="Arial" w:eastAsia="宋体" w:hAnsi="Arial" w:cs="Arial" w:hint="eastAsia"/>
          <w:color w:val="000000" w:themeColor="text1"/>
          <w:sz w:val="24"/>
        </w:rPr>
        <w:t>13</w:t>
      </w:r>
      <w:r>
        <w:rPr>
          <w:rFonts w:ascii="Arial" w:eastAsia="宋体" w:hAnsi="Arial" w:cs="Arial" w:hint="eastAsia"/>
          <w:color w:val="000000" w:themeColor="text1"/>
          <w:sz w:val="24"/>
        </w:rPr>
        <w:t>号））。</w:t>
      </w:r>
    </w:p>
    <w:p w:rsidR="00E6432D" w:rsidRDefault="00840E0B">
      <w:pPr>
        <w:numPr>
          <w:ilvl w:val="0"/>
          <w:numId w:val="3"/>
        </w:numPr>
        <w:spacing w:beforeLines="50" w:before="156" w:afterLines="50" w:after="156" w:line="360" w:lineRule="auto"/>
        <w:rPr>
          <w:rFonts w:ascii="宋体" w:eastAsia="宋体" w:hAnsi="宋体" w:cs="宋体"/>
          <w:sz w:val="24"/>
        </w:rPr>
      </w:pPr>
      <w:r>
        <w:rPr>
          <w:rFonts w:ascii="宋体" w:eastAsia="宋体" w:hAnsi="宋体" w:cs="宋体" w:hint="eastAsia"/>
          <w:b/>
          <w:bCs/>
          <w:sz w:val="24"/>
        </w:rPr>
        <w:t>《所有者权益变动表》</w:t>
      </w:r>
      <w:r>
        <w:rPr>
          <w:rFonts w:ascii="宋体" w:eastAsia="宋体" w:hAnsi="宋体" w:cs="宋体" w:hint="eastAsia"/>
          <w:sz w:val="24"/>
        </w:rPr>
        <w:t>：</w:t>
      </w:r>
    </w:p>
    <w:p w:rsidR="00E6432D" w:rsidRDefault="00840E0B">
      <w:pPr>
        <w:numPr>
          <w:ilvl w:val="0"/>
          <w:numId w:val="5"/>
        </w:numPr>
        <w:spacing w:line="360" w:lineRule="auto"/>
        <w:rPr>
          <w:rFonts w:ascii="宋体" w:eastAsia="宋体" w:hAnsi="宋体" w:cs="宋体"/>
          <w:sz w:val="24"/>
        </w:rPr>
      </w:pPr>
      <w:r>
        <w:rPr>
          <w:rFonts w:ascii="宋体" w:eastAsia="宋体" w:hAnsi="宋体" w:cs="宋体" w:hint="eastAsia"/>
          <w:sz w:val="24"/>
        </w:rPr>
        <w:t>第4行“其他”项只能填写两种情况，一是同</w:t>
      </w:r>
      <w:proofErr w:type="gramStart"/>
      <w:r>
        <w:rPr>
          <w:rFonts w:ascii="宋体" w:eastAsia="宋体" w:hAnsi="宋体" w:cs="宋体" w:hint="eastAsia"/>
          <w:sz w:val="24"/>
        </w:rPr>
        <w:t>一控制</w:t>
      </w:r>
      <w:proofErr w:type="gramEnd"/>
      <w:r>
        <w:rPr>
          <w:rFonts w:ascii="宋体" w:eastAsia="宋体" w:hAnsi="宋体" w:cs="宋体" w:hint="eastAsia"/>
          <w:sz w:val="24"/>
        </w:rPr>
        <w:t>下因合并产生的所有者权益变动，另一种是因清产核资产生的所有者权益变动。</w:t>
      </w:r>
    </w:p>
    <w:p w:rsidR="00E6432D" w:rsidRDefault="00840E0B">
      <w:pPr>
        <w:numPr>
          <w:ilvl w:val="0"/>
          <w:numId w:val="5"/>
        </w:numPr>
        <w:spacing w:line="360" w:lineRule="auto"/>
        <w:rPr>
          <w:rFonts w:ascii="宋体" w:eastAsia="宋体" w:hAnsi="宋体" w:cs="宋体"/>
          <w:sz w:val="24"/>
        </w:rPr>
      </w:pPr>
      <w:r>
        <w:rPr>
          <w:rFonts w:ascii="宋体" w:eastAsia="宋体" w:hAnsi="宋体" w:cs="宋体" w:hint="eastAsia"/>
          <w:sz w:val="24"/>
        </w:rPr>
        <w:t>利润分配中提取盈余公</w:t>
      </w:r>
      <w:proofErr w:type="gramStart"/>
      <w:r>
        <w:rPr>
          <w:rFonts w:ascii="宋体" w:eastAsia="宋体" w:hAnsi="宋体" w:cs="宋体" w:hint="eastAsia"/>
          <w:sz w:val="24"/>
        </w:rPr>
        <w:t>积部分</w:t>
      </w:r>
      <w:proofErr w:type="gramEnd"/>
      <w:r>
        <w:rPr>
          <w:rFonts w:ascii="宋体" w:eastAsia="宋体" w:hAnsi="宋体" w:cs="宋体" w:hint="eastAsia"/>
          <w:sz w:val="24"/>
        </w:rPr>
        <w:t>的提取盈余公</w:t>
      </w:r>
      <w:proofErr w:type="gramStart"/>
      <w:r>
        <w:rPr>
          <w:rFonts w:ascii="宋体" w:eastAsia="宋体" w:hAnsi="宋体" w:cs="宋体" w:hint="eastAsia"/>
          <w:sz w:val="24"/>
        </w:rPr>
        <w:t>积增加</w:t>
      </w:r>
      <w:proofErr w:type="gramEnd"/>
      <w:r>
        <w:rPr>
          <w:rFonts w:ascii="宋体" w:eastAsia="宋体" w:hAnsi="宋体" w:cs="宋体" w:hint="eastAsia"/>
          <w:sz w:val="24"/>
        </w:rPr>
        <w:t>额与未分配利润减少额应绝对值相等。</w:t>
      </w:r>
    </w:p>
    <w:p w:rsidR="00E6432D" w:rsidRDefault="00840E0B">
      <w:pPr>
        <w:numPr>
          <w:ilvl w:val="0"/>
          <w:numId w:val="5"/>
        </w:numPr>
        <w:spacing w:line="360" w:lineRule="auto"/>
        <w:rPr>
          <w:rFonts w:ascii="宋体" w:eastAsia="宋体" w:hAnsi="宋体" w:cs="宋体"/>
          <w:sz w:val="24"/>
        </w:rPr>
      </w:pPr>
      <w:r>
        <w:rPr>
          <w:rFonts w:ascii="宋体" w:eastAsia="宋体" w:hAnsi="宋体" w:cs="宋体" w:hint="eastAsia"/>
          <w:sz w:val="24"/>
        </w:rPr>
        <w:t>所有者权益内部结转部分的内部结转对应指标变动额绝对值应相等，             整体结转后合计值一般情况下为0。</w:t>
      </w:r>
    </w:p>
    <w:p w:rsidR="00E6432D" w:rsidRDefault="00840E0B">
      <w:pPr>
        <w:spacing w:line="360" w:lineRule="auto"/>
        <w:rPr>
          <w:rFonts w:ascii="宋体" w:eastAsia="宋体" w:hAnsi="宋体" w:cs="宋体"/>
          <w:sz w:val="24"/>
        </w:rPr>
      </w:pPr>
      <w:r>
        <w:rPr>
          <w:noProof/>
        </w:rPr>
        <w:drawing>
          <wp:inline distT="0" distB="0" distL="114300" distR="114300">
            <wp:extent cx="5842635" cy="4151630"/>
            <wp:effectExtent l="0" t="0" r="5715" b="1270"/>
            <wp:docPr id="1" name="图片 1" descr="D:\Backup\桌面\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Backup\桌面\图片1.png图片1"/>
                    <pic:cNvPicPr>
                      <a:picLocks noChangeAspect="1"/>
                    </pic:cNvPicPr>
                  </pic:nvPicPr>
                  <pic:blipFill>
                    <a:blip r:embed="rId6"/>
                    <a:srcRect/>
                    <a:stretch>
                      <a:fillRect/>
                    </a:stretch>
                  </pic:blipFill>
                  <pic:spPr>
                    <a:xfrm>
                      <a:off x="0" y="0"/>
                      <a:ext cx="5842635" cy="4151630"/>
                    </a:xfrm>
                    <a:prstGeom prst="rect">
                      <a:avLst/>
                    </a:prstGeom>
                    <a:noFill/>
                    <a:ln w="9525">
                      <a:noFill/>
                    </a:ln>
                  </pic:spPr>
                </pic:pic>
              </a:graphicData>
            </a:graphic>
          </wp:inline>
        </w:drawing>
      </w:r>
    </w:p>
    <w:p w:rsidR="00E6432D" w:rsidRDefault="00840E0B">
      <w:pPr>
        <w:numPr>
          <w:ilvl w:val="0"/>
          <w:numId w:val="5"/>
        </w:numPr>
        <w:spacing w:line="360" w:lineRule="auto"/>
        <w:rPr>
          <w:rFonts w:ascii="宋体" w:eastAsia="宋体" w:hAnsi="宋体" w:cs="宋体"/>
          <w:sz w:val="24"/>
        </w:rPr>
      </w:pPr>
      <w:r>
        <w:rPr>
          <w:rFonts w:ascii="宋体" w:eastAsia="宋体" w:hAnsi="宋体" w:cs="宋体" w:hint="eastAsia"/>
          <w:sz w:val="24"/>
        </w:rPr>
        <w:lastRenderedPageBreak/>
        <w:t>应认真核实第4、12、25、31行“其他”项的数据是否属于错填，如果填报正确，应在编报说明中说明产生的具体原因，具体操作系在公式审核出错说明中编辑具体原因。</w:t>
      </w:r>
    </w:p>
    <w:p w:rsidR="00E6432D" w:rsidRDefault="00840E0B">
      <w:pPr>
        <w:numPr>
          <w:ilvl w:val="0"/>
          <w:numId w:val="3"/>
        </w:numPr>
        <w:spacing w:beforeLines="50" w:before="156" w:afterLines="50" w:after="156" w:line="360" w:lineRule="auto"/>
        <w:rPr>
          <w:rFonts w:ascii="宋体" w:eastAsia="宋体" w:hAnsi="宋体" w:cs="宋体"/>
          <w:sz w:val="24"/>
        </w:rPr>
      </w:pPr>
      <w:r>
        <w:rPr>
          <w:rFonts w:ascii="宋体" w:eastAsia="宋体" w:hAnsi="宋体" w:cs="宋体" w:hint="eastAsia"/>
          <w:b/>
          <w:bCs/>
          <w:sz w:val="24"/>
        </w:rPr>
        <w:t>《国有资本变动情况表》</w:t>
      </w:r>
      <w:r>
        <w:rPr>
          <w:rFonts w:ascii="宋体" w:eastAsia="宋体" w:hAnsi="宋体" w:cs="宋体" w:hint="eastAsia"/>
          <w:sz w:val="24"/>
        </w:rPr>
        <w:t>：</w:t>
      </w:r>
    </w:p>
    <w:p w:rsidR="00E6432D" w:rsidRDefault="00840E0B">
      <w:pPr>
        <w:numPr>
          <w:ilvl w:val="0"/>
          <w:numId w:val="6"/>
        </w:numPr>
        <w:spacing w:beforeLines="50" w:before="156" w:afterLines="50" w:after="156" w:line="360" w:lineRule="auto"/>
        <w:rPr>
          <w:rFonts w:ascii="宋体" w:eastAsia="宋体" w:hAnsi="宋体" w:cs="宋体"/>
          <w:sz w:val="24"/>
        </w:rPr>
      </w:pPr>
      <w:r>
        <w:rPr>
          <w:rFonts w:ascii="宋体" w:eastAsia="宋体" w:hAnsi="宋体" w:cs="宋体" w:hint="eastAsia"/>
          <w:sz w:val="24"/>
        </w:rPr>
        <w:t>集体企业不需要填报</w:t>
      </w:r>
      <w:r w:rsidR="002D18AF">
        <w:rPr>
          <w:rFonts w:ascii="宋体" w:eastAsia="宋体" w:hAnsi="宋体" w:cs="宋体" w:hint="eastAsia"/>
          <w:sz w:val="24"/>
        </w:rPr>
        <w:t>该表。</w:t>
      </w:r>
      <w:r>
        <w:rPr>
          <w:rFonts w:ascii="宋体" w:eastAsia="宋体" w:hAnsi="宋体" w:cs="宋体" w:hint="eastAsia"/>
          <w:sz w:val="24"/>
        </w:rPr>
        <w:t>14行、27行“中央和地方政府确定的其他因素”如果有填报数据，应提供文件依据，不应把没有地方填报的其他因素放在该行填列。</w:t>
      </w:r>
    </w:p>
    <w:p w:rsidR="00E6432D" w:rsidRDefault="00840E0B">
      <w:pPr>
        <w:numPr>
          <w:ilvl w:val="0"/>
          <w:numId w:val="3"/>
        </w:numPr>
        <w:spacing w:beforeLines="50" w:before="156" w:afterLines="50" w:after="156" w:line="360" w:lineRule="auto"/>
        <w:rPr>
          <w:rFonts w:ascii="宋体" w:eastAsia="宋体" w:hAnsi="宋体" w:cs="宋体"/>
          <w:sz w:val="24"/>
        </w:rPr>
      </w:pPr>
      <w:r>
        <w:rPr>
          <w:rFonts w:ascii="宋体" w:eastAsia="宋体" w:hAnsi="宋体" w:cs="宋体" w:hint="eastAsia"/>
          <w:b/>
          <w:bCs/>
          <w:sz w:val="24"/>
        </w:rPr>
        <w:t>《资产减值准备情况表》：</w:t>
      </w:r>
      <w:r>
        <w:rPr>
          <w:rFonts w:ascii="宋体" w:eastAsia="宋体" w:hAnsi="宋体" w:cs="宋体" w:hint="eastAsia"/>
          <w:sz w:val="24"/>
        </w:rPr>
        <w:t>对于“按账龄计提的坏账准备当期应冲减的金额” ，应在“本期计提额”中以负数形式反映，避免与“资产价值回升转回额”混淆。</w:t>
      </w:r>
    </w:p>
    <w:p w:rsidR="00E6432D" w:rsidRDefault="00840E0B">
      <w:pPr>
        <w:spacing w:beforeLines="50" w:before="156" w:afterLines="50" w:after="156" w:line="360" w:lineRule="auto"/>
        <w:rPr>
          <w:rFonts w:ascii="宋体" w:eastAsia="宋体" w:hAnsi="宋体" w:cs="宋体"/>
          <w:sz w:val="24"/>
        </w:rPr>
      </w:pPr>
      <w:r>
        <w:rPr>
          <w:noProof/>
        </w:rPr>
        <w:drawing>
          <wp:inline distT="0" distB="0" distL="114300" distR="114300">
            <wp:extent cx="5575935" cy="3408680"/>
            <wp:effectExtent l="0" t="0" r="5715" b="127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575935" cy="3408680"/>
                    </a:xfrm>
                    <a:prstGeom prst="rect">
                      <a:avLst/>
                    </a:prstGeom>
                  </pic:spPr>
                </pic:pic>
              </a:graphicData>
            </a:graphic>
          </wp:inline>
        </w:drawing>
      </w:r>
    </w:p>
    <w:p w:rsidR="00E6432D" w:rsidRDefault="00840E0B">
      <w:pPr>
        <w:numPr>
          <w:ilvl w:val="0"/>
          <w:numId w:val="3"/>
        </w:numPr>
        <w:spacing w:beforeLines="50" w:before="156" w:afterLines="50" w:after="156" w:line="360" w:lineRule="auto"/>
        <w:rPr>
          <w:rFonts w:ascii="宋体" w:eastAsia="宋体" w:hAnsi="宋体" w:cs="宋体"/>
          <w:sz w:val="24"/>
        </w:rPr>
      </w:pPr>
      <w:r>
        <w:rPr>
          <w:rFonts w:ascii="宋体" w:eastAsia="宋体" w:hAnsi="宋体" w:cs="宋体" w:hint="eastAsia"/>
          <w:b/>
          <w:bCs/>
          <w:sz w:val="24"/>
        </w:rPr>
        <w:t>《应上交应弥补款项表》</w:t>
      </w:r>
      <w:r>
        <w:rPr>
          <w:rFonts w:ascii="宋体" w:eastAsia="宋体" w:hAnsi="宋体" w:cs="宋体" w:hint="eastAsia"/>
          <w:sz w:val="24"/>
        </w:rPr>
        <w:t>：“国有资本收益”指标，反映根据财政部门有关国有资本收益收缴办法等规定，本年应交和本年已交各级财政的国有资本收益，本项目仅由企业集团本部填列，应与</w:t>
      </w:r>
      <w:proofErr w:type="gramStart"/>
      <w:r>
        <w:rPr>
          <w:rFonts w:ascii="宋体" w:eastAsia="宋体" w:hAnsi="宋体" w:cs="宋体" w:hint="eastAsia"/>
          <w:sz w:val="24"/>
        </w:rPr>
        <w:t>报送国</w:t>
      </w:r>
      <w:proofErr w:type="gramEnd"/>
      <w:r>
        <w:rPr>
          <w:rFonts w:ascii="宋体" w:eastAsia="宋体" w:hAnsi="宋体" w:cs="宋体" w:hint="eastAsia"/>
          <w:sz w:val="24"/>
        </w:rPr>
        <w:t>资委的口径一致。</w:t>
      </w:r>
    </w:p>
    <w:p w:rsidR="00E6432D" w:rsidRDefault="00840E0B">
      <w:pPr>
        <w:numPr>
          <w:ilvl w:val="0"/>
          <w:numId w:val="3"/>
        </w:numPr>
        <w:spacing w:line="360" w:lineRule="auto"/>
        <w:rPr>
          <w:rFonts w:ascii="宋体" w:eastAsia="宋体" w:hAnsi="宋体" w:cs="宋体"/>
          <w:sz w:val="24"/>
        </w:rPr>
      </w:pPr>
      <w:r>
        <w:rPr>
          <w:rFonts w:ascii="宋体" w:eastAsia="宋体" w:hAnsi="宋体" w:cs="宋体" w:hint="eastAsia"/>
          <w:b/>
          <w:bCs/>
          <w:sz w:val="24"/>
        </w:rPr>
        <w:t>《基本情况表》</w:t>
      </w:r>
      <w:r>
        <w:rPr>
          <w:rFonts w:ascii="宋体" w:eastAsia="宋体" w:hAnsi="宋体" w:cs="宋体" w:hint="eastAsia"/>
          <w:sz w:val="24"/>
        </w:rPr>
        <w:t>：涉及职工人数、企业负责人人数等情况填列的，应按照人员与工资相匹配、“人随工资走”的原则填列。</w:t>
      </w:r>
    </w:p>
    <w:p w:rsidR="00E6432D" w:rsidRDefault="00840E0B">
      <w:pPr>
        <w:numPr>
          <w:ilvl w:val="0"/>
          <w:numId w:val="7"/>
        </w:numPr>
        <w:spacing w:line="360" w:lineRule="auto"/>
        <w:rPr>
          <w:rFonts w:ascii="宋体" w:eastAsia="宋体" w:hAnsi="宋体" w:cs="宋体"/>
          <w:sz w:val="24"/>
        </w:rPr>
      </w:pPr>
      <w:r>
        <w:rPr>
          <w:rFonts w:ascii="宋体" w:eastAsia="宋体" w:hAnsi="宋体" w:cs="宋体" w:hint="eastAsia"/>
          <w:sz w:val="24"/>
        </w:rPr>
        <w:t>“企业负责人人数”不包括在企业兼职不兼酬的企业负责人人数。</w:t>
      </w:r>
    </w:p>
    <w:p w:rsidR="00E6432D" w:rsidRDefault="00840E0B">
      <w:pPr>
        <w:numPr>
          <w:ilvl w:val="0"/>
          <w:numId w:val="7"/>
        </w:numPr>
        <w:spacing w:line="360" w:lineRule="auto"/>
        <w:rPr>
          <w:rFonts w:ascii="宋体" w:eastAsia="宋体" w:hAnsi="宋体" w:cs="宋体"/>
          <w:sz w:val="24"/>
        </w:rPr>
      </w:pPr>
      <w:r>
        <w:rPr>
          <w:rFonts w:ascii="宋体" w:eastAsia="宋体" w:hAnsi="宋体" w:cs="宋体" w:hint="eastAsia"/>
          <w:sz w:val="24"/>
        </w:rPr>
        <w:t>“年末从业人员人数”指年末在企业实际从事生产经营活动的全部人员，包括：</w:t>
      </w:r>
      <w:r>
        <w:rPr>
          <w:rFonts w:ascii="宋体" w:eastAsia="宋体" w:hAnsi="宋体" w:cs="宋体" w:hint="eastAsia"/>
          <w:sz w:val="24"/>
        </w:rPr>
        <w:lastRenderedPageBreak/>
        <w:t>在岗的职工（合同制职工）、临时工及其他聘用、留用人员，以及与法人单位签订劳务派遣合同的人员。但不包括</w:t>
      </w:r>
      <w:proofErr w:type="gramStart"/>
      <w:r>
        <w:rPr>
          <w:rFonts w:ascii="宋体" w:eastAsia="宋体" w:hAnsi="宋体" w:cs="宋体" w:hint="eastAsia"/>
          <w:sz w:val="24"/>
        </w:rPr>
        <w:t>不</w:t>
      </w:r>
      <w:proofErr w:type="gramEnd"/>
      <w:r>
        <w:rPr>
          <w:rFonts w:ascii="宋体" w:eastAsia="宋体" w:hAnsi="宋体" w:cs="宋体" w:hint="eastAsia"/>
          <w:sz w:val="24"/>
        </w:rPr>
        <w:t>在岗职工。同理，本年平均从业人员人数不包括</w:t>
      </w:r>
      <w:proofErr w:type="gramStart"/>
      <w:r>
        <w:rPr>
          <w:rFonts w:ascii="宋体" w:eastAsia="宋体" w:hAnsi="宋体" w:cs="宋体" w:hint="eastAsia"/>
          <w:sz w:val="24"/>
        </w:rPr>
        <w:t>不</w:t>
      </w:r>
      <w:proofErr w:type="gramEnd"/>
      <w:r>
        <w:rPr>
          <w:rFonts w:ascii="宋体" w:eastAsia="宋体" w:hAnsi="宋体" w:cs="宋体" w:hint="eastAsia"/>
          <w:sz w:val="24"/>
        </w:rPr>
        <w:t>在岗职工。</w:t>
      </w:r>
    </w:p>
    <w:p w:rsidR="00E6432D" w:rsidRDefault="00840E0B">
      <w:pPr>
        <w:numPr>
          <w:ilvl w:val="0"/>
          <w:numId w:val="7"/>
        </w:numPr>
        <w:spacing w:line="360" w:lineRule="auto"/>
        <w:rPr>
          <w:rFonts w:ascii="宋体" w:eastAsia="宋体" w:hAnsi="宋体" w:cs="宋体"/>
          <w:sz w:val="24"/>
        </w:rPr>
      </w:pPr>
      <w:r>
        <w:rPr>
          <w:rFonts w:ascii="宋体" w:eastAsia="宋体" w:hAnsi="宋体" w:cs="宋体" w:hint="eastAsia"/>
          <w:sz w:val="24"/>
        </w:rPr>
        <w:t>“年末职工人数” 反映企业年末人事关系或工资关系在本单位的固定职工及劳动合同制职工，不包括离休、退休人员，但包括内</w:t>
      </w:r>
      <w:proofErr w:type="gramStart"/>
      <w:r>
        <w:rPr>
          <w:rFonts w:ascii="宋体" w:eastAsia="宋体" w:hAnsi="宋体" w:cs="宋体" w:hint="eastAsia"/>
          <w:sz w:val="24"/>
        </w:rPr>
        <w:t>退下岗</w:t>
      </w:r>
      <w:proofErr w:type="gramEnd"/>
      <w:r>
        <w:rPr>
          <w:rFonts w:ascii="宋体" w:eastAsia="宋体" w:hAnsi="宋体" w:cs="宋体" w:hint="eastAsia"/>
          <w:sz w:val="24"/>
        </w:rPr>
        <w:t>人员。</w:t>
      </w:r>
    </w:p>
    <w:p w:rsidR="00E6432D" w:rsidRDefault="00840E0B">
      <w:pPr>
        <w:numPr>
          <w:ilvl w:val="0"/>
          <w:numId w:val="7"/>
        </w:numPr>
        <w:spacing w:line="360" w:lineRule="auto"/>
        <w:rPr>
          <w:rFonts w:ascii="宋体" w:eastAsia="宋体" w:hAnsi="宋体" w:cs="宋体"/>
          <w:sz w:val="24"/>
        </w:rPr>
      </w:pPr>
      <w:r>
        <w:rPr>
          <w:rFonts w:ascii="宋体" w:eastAsia="宋体" w:hAnsi="宋体" w:cs="宋体" w:hint="eastAsia"/>
          <w:sz w:val="24"/>
        </w:rPr>
        <w:t>年末党员人数是指职工内的党员人数（不包括离退休人员）。</w:t>
      </w:r>
    </w:p>
    <w:p w:rsidR="00E6432D" w:rsidRDefault="00840E0B">
      <w:pPr>
        <w:numPr>
          <w:ilvl w:val="0"/>
          <w:numId w:val="7"/>
        </w:numPr>
        <w:spacing w:line="360" w:lineRule="auto"/>
        <w:rPr>
          <w:rFonts w:ascii="宋体" w:eastAsia="宋体" w:hAnsi="宋体" w:cs="宋体"/>
          <w:sz w:val="24"/>
        </w:rPr>
      </w:pPr>
      <w:r>
        <w:rPr>
          <w:rFonts w:ascii="宋体" w:eastAsia="宋体" w:hAnsi="宋体" w:cs="宋体" w:hint="eastAsia"/>
          <w:sz w:val="24"/>
        </w:rPr>
        <w:t>表中合计行和其中</w:t>
      </w:r>
      <w:proofErr w:type="gramStart"/>
      <w:r>
        <w:rPr>
          <w:rFonts w:ascii="宋体" w:eastAsia="宋体" w:hAnsi="宋体" w:cs="宋体" w:hint="eastAsia"/>
          <w:sz w:val="24"/>
        </w:rPr>
        <w:t>项数据</w:t>
      </w:r>
      <w:proofErr w:type="gramEnd"/>
      <w:r>
        <w:rPr>
          <w:rFonts w:ascii="宋体" w:eastAsia="宋体" w:hAnsi="宋体" w:cs="宋体" w:hint="eastAsia"/>
          <w:sz w:val="24"/>
        </w:rPr>
        <w:t>要对应，不要出现漏填现象。</w:t>
      </w:r>
    </w:p>
    <w:p w:rsidR="00E6432D" w:rsidRDefault="00840E0B">
      <w:pPr>
        <w:numPr>
          <w:ilvl w:val="0"/>
          <w:numId w:val="7"/>
        </w:numPr>
        <w:spacing w:line="360" w:lineRule="auto"/>
        <w:rPr>
          <w:rFonts w:ascii="宋体" w:eastAsia="宋体" w:hAnsi="宋体" w:cs="宋体"/>
          <w:color w:val="000000" w:themeColor="text1"/>
          <w:sz w:val="24"/>
        </w:rPr>
      </w:pPr>
      <w:r>
        <w:rPr>
          <w:rFonts w:ascii="宋体" w:eastAsia="宋体" w:hAnsi="宋体" w:cs="宋体" w:hint="eastAsia"/>
          <w:color w:val="000000" w:themeColor="text1"/>
          <w:sz w:val="24"/>
        </w:rPr>
        <w:t>应</w:t>
      </w:r>
      <w:proofErr w:type="gramStart"/>
      <w:r>
        <w:rPr>
          <w:rFonts w:ascii="宋体" w:eastAsia="宋体" w:hAnsi="宋体" w:cs="宋体" w:hint="eastAsia"/>
          <w:color w:val="000000" w:themeColor="text1"/>
          <w:sz w:val="24"/>
        </w:rPr>
        <w:t>发职工薪酬</w:t>
      </w:r>
      <w:proofErr w:type="gramEnd"/>
      <w:r>
        <w:rPr>
          <w:rFonts w:ascii="宋体" w:eastAsia="宋体" w:hAnsi="宋体" w:cs="宋体" w:hint="eastAsia"/>
          <w:color w:val="000000" w:themeColor="text1"/>
          <w:sz w:val="24"/>
        </w:rPr>
        <w:t>总额包括社会保险和住房公积金的单位负担部分，实际发放职工薪</w:t>
      </w:r>
      <w:proofErr w:type="gramStart"/>
      <w:r>
        <w:rPr>
          <w:rFonts w:ascii="宋体" w:eastAsia="宋体" w:hAnsi="宋体" w:cs="宋体" w:hint="eastAsia"/>
          <w:color w:val="000000" w:themeColor="text1"/>
          <w:sz w:val="24"/>
        </w:rPr>
        <w:t>酬</w:t>
      </w:r>
      <w:proofErr w:type="gramEnd"/>
      <w:r>
        <w:rPr>
          <w:rFonts w:ascii="宋体" w:eastAsia="宋体" w:hAnsi="宋体" w:cs="宋体" w:hint="eastAsia"/>
          <w:color w:val="000000" w:themeColor="text1"/>
          <w:sz w:val="24"/>
        </w:rPr>
        <w:t>总额则不包括。</w:t>
      </w:r>
    </w:p>
    <w:p w:rsidR="00E6432D" w:rsidRDefault="00840E0B">
      <w:pPr>
        <w:numPr>
          <w:ilvl w:val="0"/>
          <w:numId w:val="7"/>
        </w:numPr>
        <w:spacing w:line="360" w:lineRule="auto"/>
        <w:rPr>
          <w:rFonts w:ascii="宋体" w:eastAsia="宋体" w:hAnsi="宋体" w:cs="宋体"/>
          <w:color w:val="000000" w:themeColor="text1"/>
          <w:sz w:val="24"/>
        </w:rPr>
      </w:pPr>
      <w:r>
        <w:rPr>
          <w:rFonts w:ascii="宋体" w:eastAsia="宋体" w:hAnsi="宋体" w:cs="宋体" w:hint="eastAsia"/>
          <w:b/>
          <w:bCs/>
          <w:color w:val="000000" w:themeColor="text1"/>
          <w:sz w:val="24"/>
        </w:rPr>
        <w:t xml:space="preserve">劳动生产总值 </w:t>
      </w:r>
      <w:r>
        <w:rPr>
          <w:rFonts w:ascii="宋体" w:eastAsia="宋体" w:hAnsi="宋体" w:cs="宋体" w:hint="eastAsia"/>
          <w:color w:val="000000" w:themeColor="text1"/>
          <w:sz w:val="24"/>
        </w:rPr>
        <w:t>= 本年实际发放职工薪</w:t>
      </w:r>
      <w:proofErr w:type="gramStart"/>
      <w:r>
        <w:rPr>
          <w:rFonts w:ascii="宋体" w:eastAsia="宋体" w:hAnsi="宋体" w:cs="宋体" w:hint="eastAsia"/>
          <w:color w:val="000000" w:themeColor="text1"/>
          <w:sz w:val="24"/>
        </w:rPr>
        <w:t>酬</w:t>
      </w:r>
      <w:proofErr w:type="gramEnd"/>
      <w:r>
        <w:rPr>
          <w:rFonts w:ascii="宋体" w:eastAsia="宋体" w:hAnsi="宋体" w:cs="宋体" w:hint="eastAsia"/>
          <w:color w:val="000000" w:themeColor="text1"/>
          <w:sz w:val="24"/>
        </w:rPr>
        <w:t>总额（基本情况表33行）+本年计提的固定资产折旧总额（基本情况表80行）+本期营业利润（利润表31行）+本期政府补助（利润表35行）-本期公允价值变动收益（利润表26行）-本期投资收益（利润表27行）+本年应交税费总额（应上交应弥补款项表59行）-本年应交企业所得税（应上交应弥补款项表19行）-储备</w:t>
      </w:r>
      <w:proofErr w:type="gramStart"/>
      <w:r>
        <w:rPr>
          <w:rFonts w:ascii="宋体" w:eastAsia="宋体" w:hAnsi="宋体" w:cs="宋体" w:hint="eastAsia"/>
          <w:color w:val="000000" w:themeColor="text1"/>
          <w:sz w:val="24"/>
        </w:rPr>
        <w:t>粮油差</w:t>
      </w:r>
      <w:proofErr w:type="gramEnd"/>
      <w:r>
        <w:rPr>
          <w:rFonts w:ascii="宋体" w:eastAsia="宋体" w:hAnsi="宋体" w:cs="宋体" w:hint="eastAsia"/>
          <w:color w:val="000000" w:themeColor="text1"/>
          <w:sz w:val="24"/>
        </w:rPr>
        <w:t>价款本年应补数（应上交应弥补款项表50行）-预算弥补亏损及补贴本年应补数（应上交应弥补款项表53行）-本年度应收出口退税（应上交应弥补款项表66行）。</w:t>
      </w:r>
    </w:p>
    <w:p w:rsidR="00E6432D" w:rsidRDefault="00840E0B">
      <w:pPr>
        <w:numPr>
          <w:ilvl w:val="0"/>
          <w:numId w:val="7"/>
        </w:numPr>
        <w:spacing w:line="360" w:lineRule="auto"/>
        <w:rPr>
          <w:rFonts w:ascii="宋体" w:eastAsia="宋体" w:hAnsi="宋体" w:cs="宋体"/>
          <w:color w:val="000000" w:themeColor="text1"/>
          <w:sz w:val="24"/>
        </w:rPr>
      </w:pPr>
      <w:r>
        <w:rPr>
          <w:rFonts w:ascii="宋体" w:eastAsia="宋体" w:hAnsi="宋体" w:cs="宋体" w:hint="eastAsia"/>
          <w:b/>
          <w:bCs/>
          <w:color w:val="000000" w:themeColor="text1"/>
          <w:sz w:val="24"/>
        </w:rPr>
        <w:t xml:space="preserve">社会贡献总额 = </w:t>
      </w:r>
      <w:r>
        <w:rPr>
          <w:rFonts w:ascii="宋体" w:eastAsia="宋体" w:hAnsi="宋体" w:cs="宋体" w:hint="eastAsia"/>
          <w:color w:val="000000" w:themeColor="text1"/>
          <w:sz w:val="24"/>
        </w:rPr>
        <w:t>本年实际发放职工薪</w:t>
      </w:r>
      <w:proofErr w:type="gramStart"/>
      <w:r>
        <w:rPr>
          <w:rFonts w:ascii="宋体" w:eastAsia="宋体" w:hAnsi="宋体" w:cs="宋体" w:hint="eastAsia"/>
          <w:color w:val="000000" w:themeColor="text1"/>
          <w:sz w:val="24"/>
        </w:rPr>
        <w:t>酬</w:t>
      </w:r>
      <w:proofErr w:type="gramEnd"/>
      <w:r>
        <w:rPr>
          <w:rFonts w:ascii="宋体" w:eastAsia="宋体" w:hAnsi="宋体" w:cs="宋体" w:hint="eastAsia"/>
          <w:color w:val="000000" w:themeColor="text1"/>
          <w:sz w:val="24"/>
        </w:rPr>
        <w:t>总额（基本情况表33行）+利息支出总额（</w:t>
      </w:r>
      <w:proofErr w:type="gramStart"/>
      <w:r>
        <w:rPr>
          <w:rFonts w:ascii="宋体" w:eastAsia="宋体" w:hAnsi="宋体" w:cs="宋体" w:hint="eastAsia"/>
          <w:color w:val="000000" w:themeColor="text1"/>
          <w:sz w:val="24"/>
        </w:rPr>
        <w:t>含资本</w:t>
      </w:r>
      <w:proofErr w:type="gramEnd"/>
      <w:r>
        <w:rPr>
          <w:rFonts w:ascii="宋体" w:eastAsia="宋体" w:hAnsi="宋体" w:cs="宋体" w:hint="eastAsia"/>
          <w:color w:val="000000" w:themeColor="text1"/>
          <w:sz w:val="24"/>
        </w:rPr>
        <w:t>化利息）（国有企业带息负债情况表28行8栏）-本期利息收入（利润表22行）+本年实际上交税费总额（应上交应弥补款项表60行）+本年对外捐赠支出总额（基本情况表108行）+本期净利润（利润表43行）。</w:t>
      </w:r>
    </w:p>
    <w:p w:rsidR="00E6432D" w:rsidRDefault="00840E0B">
      <w:pPr>
        <w:numPr>
          <w:ilvl w:val="0"/>
          <w:numId w:val="3"/>
        </w:numPr>
        <w:spacing w:line="360" w:lineRule="auto"/>
        <w:rPr>
          <w:rFonts w:ascii="宋体" w:eastAsia="宋体" w:hAnsi="宋体" w:cs="宋体"/>
          <w:color w:val="000000" w:themeColor="text1"/>
          <w:sz w:val="24"/>
        </w:rPr>
      </w:pPr>
      <w:r>
        <w:rPr>
          <w:rFonts w:ascii="宋体" w:eastAsia="宋体" w:hAnsi="宋体" w:cs="宋体" w:hint="eastAsia"/>
          <w:b/>
          <w:bCs/>
          <w:color w:val="000000" w:themeColor="text1"/>
          <w:sz w:val="24"/>
        </w:rPr>
        <w:t>《汇编范围企业户数情况表》</w:t>
      </w:r>
      <w:r>
        <w:rPr>
          <w:rFonts w:ascii="宋体" w:eastAsia="宋体" w:hAnsi="宋体" w:cs="宋体" w:hint="eastAsia"/>
          <w:color w:val="000000" w:themeColor="text1"/>
          <w:sz w:val="24"/>
        </w:rPr>
        <w:t>：由一级企业填报，24行“上年户数”应与上年决算数据一致，45行“本年户数” 应与上报财政的企业户数一致。</w:t>
      </w:r>
    </w:p>
    <w:p w:rsidR="00E6432D" w:rsidRDefault="00840E0B">
      <w:pPr>
        <w:numPr>
          <w:ilvl w:val="0"/>
          <w:numId w:val="3"/>
        </w:numPr>
        <w:spacing w:line="360" w:lineRule="auto"/>
        <w:rPr>
          <w:rFonts w:ascii="宋体" w:eastAsia="宋体" w:hAnsi="宋体" w:cs="宋体"/>
          <w:color w:val="000000" w:themeColor="text1"/>
          <w:sz w:val="24"/>
        </w:rPr>
      </w:pPr>
      <w:r>
        <w:rPr>
          <w:rFonts w:ascii="宋体" w:eastAsia="宋体" w:hAnsi="宋体" w:cs="宋体" w:hint="eastAsia"/>
          <w:b/>
          <w:bCs/>
          <w:color w:val="000000" w:themeColor="text1"/>
          <w:sz w:val="24"/>
        </w:rPr>
        <w:t>《国有企业带息负债情况表》</w:t>
      </w:r>
      <w:r>
        <w:rPr>
          <w:rFonts w:ascii="宋体" w:eastAsia="宋体" w:hAnsi="宋体" w:cs="宋体" w:hint="eastAsia"/>
          <w:color w:val="000000" w:themeColor="text1"/>
          <w:sz w:val="24"/>
        </w:rPr>
        <w:t>：非带息负债数据不需要填报。利息支出总额（28行）-利息资本化金额（29行）=利息支出（利润表21行）。偿债能力分析指标部分需通过操作报表编辑界面的运算功能才能产生数据，如下图所示：</w:t>
      </w:r>
    </w:p>
    <w:p w:rsidR="00E6432D" w:rsidRDefault="00840E0B">
      <w:pPr>
        <w:spacing w:line="360" w:lineRule="auto"/>
        <w:rPr>
          <w:rFonts w:ascii="宋体" w:eastAsia="宋体" w:hAnsi="宋体" w:cs="宋体"/>
          <w:color w:val="000000" w:themeColor="text1"/>
          <w:sz w:val="24"/>
        </w:rPr>
      </w:pPr>
      <w:r>
        <w:rPr>
          <w:noProof/>
        </w:rPr>
        <w:lastRenderedPageBreak/>
        <w:drawing>
          <wp:inline distT="0" distB="0" distL="0" distR="0" wp14:anchorId="47CFE957" wp14:editId="39024238">
            <wp:extent cx="5457824" cy="46005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67597" cy="4608813"/>
                    </a:xfrm>
                    <a:prstGeom prst="rect">
                      <a:avLst/>
                    </a:prstGeom>
                  </pic:spPr>
                </pic:pic>
              </a:graphicData>
            </a:graphic>
          </wp:inline>
        </w:drawing>
      </w:r>
    </w:p>
    <w:p w:rsidR="00E6432D" w:rsidRDefault="00E6432D">
      <w:pPr>
        <w:spacing w:beforeLines="50" w:before="156" w:afterLines="50" w:after="156" w:line="360" w:lineRule="auto"/>
        <w:rPr>
          <w:rFonts w:ascii="宋体" w:eastAsia="宋体" w:hAnsi="宋体" w:cs="宋体"/>
          <w:sz w:val="24"/>
        </w:rPr>
      </w:pPr>
    </w:p>
    <w:sectPr w:rsidR="00E6432D">
      <w:pgSz w:w="11906" w:h="16838"/>
      <w:pgMar w:top="1440" w:right="1587" w:bottom="1440" w:left="158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F8032"/>
    <w:multiLevelType w:val="singleLevel"/>
    <w:tmpl w:val="5A2F8032"/>
    <w:lvl w:ilvl="0">
      <w:start w:val="1"/>
      <w:numFmt w:val="decimal"/>
      <w:lvlText w:val="%1."/>
      <w:lvlJc w:val="left"/>
      <w:pPr>
        <w:ind w:left="425" w:hanging="425"/>
      </w:pPr>
      <w:rPr>
        <w:rFonts w:hint="default"/>
      </w:rPr>
    </w:lvl>
  </w:abstractNum>
  <w:abstractNum w:abstractNumId="1">
    <w:nsid w:val="5A2F80F8"/>
    <w:multiLevelType w:val="singleLevel"/>
    <w:tmpl w:val="5A2F80F8"/>
    <w:lvl w:ilvl="0">
      <w:start w:val="2"/>
      <w:numFmt w:val="chineseCounting"/>
      <w:suff w:val="nothing"/>
      <w:lvlText w:val="%1、"/>
      <w:lvlJc w:val="left"/>
    </w:lvl>
  </w:abstractNum>
  <w:abstractNum w:abstractNumId="2">
    <w:nsid w:val="5A2F9DFF"/>
    <w:multiLevelType w:val="singleLevel"/>
    <w:tmpl w:val="5A2F9DFF"/>
    <w:lvl w:ilvl="0">
      <w:start w:val="1"/>
      <w:numFmt w:val="decimal"/>
      <w:lvlText w:val="%1)"/>
      <w:lvlJc w:val="left"/>
      <w:pPr>
        <w:ind w:left="425" w:hanging="425"/>
      </w:pPr>
      <w:rPr>
        <w:rFonts w:hint="default"/>
      </w:rPr>
    </w:lvl>
  </w:abstractNum>
  <w:abstractNum w:abstractNumId="3">
    <w:nsid w:val="5A3721FD"/>
    <w:multiLevelType w:val="singleLevel"/>
    <w:tmpl w:val="5A3721FD"/>
    <w:lvl w:ilvl="0">
      <w:start w:val="1"/>
      <w:numFmt w:val="decimal"/>
      <w:lvlText w:val="%1)"/>
      <w:lvlJc w:val="left"/>
      <w:pPr>
        <w:ind w:left="425" w:hanging="425"/>
      </w:pPr>
      <w:rPr>
        <w:rFonts w:hint="default"/>
      </w:rPr>
    </w:lvl>
  </w:abstractNum>
  <w:abstractNum w:abstractNumId="4">
    <w:nsid w:val="5A372565"/>
    <w:multiLevelType w:val="singleLevel"/>
    <w:tmpl w:val="5A372565"/>
    <w:lvl w:ilvl="0">
      <w:start w:val="1"/>
      <w:numFmt w:val="decimal"/>
      <w:lvlText w:val="%1)"/>
      <w:lvlJc w:val="left"/>
      <w:pPr>
        <w:ind w:left="425" w:hanging="425"/>
      </w:pPr>
      <w:rPr>
        <w:rFonts w:hint="default"/>
      </w:rPr>
    </w:lvl>
  </w:abstractNum>
  <w:abstractNum w:abstractNumId="5">
    <w:nsid w:val="5A373746"/>
    <w:multiLevelType w:val="singleLevel"/>
    <w:tmpl w:val="5A373746"/>
    <w:lvl w:ilvl="0">
      <w:start w:val="1"/>
      <w:numFmt w:val="decimal"/>
      <w:lvlText w:val="%1."/>
      <w:lvlJc w:val="left"/>
      <w:pPr>
        <w:ind w:left="425" w:hanging="425"/>
      </w:pPr>
      <w:rPr>
        <w:rFonts w:hint="default"/>
      </w:rPr>
    </w:lvl>
  </w:abstractNum>
  <w:abstractNum w:abstractNumId="6">
    <w:nsid w:val="5A38701C"/>
    <w:multiLevelType w:val="singleLevel"/>
    <w:tmpl w:val="5A38701C"/>
    <w:lvl w:ilvl="0">
      <w:start w:val="1"/>
      <w:numFmt w:val="decimal"/>
      <w:lvlText w:val="%1)"/>
      <w:lvlJc w:val="left"/>
      <w:pPr>
        <w:ind w:left="425" w:hanging="425"/>
      </w:pPr>
      <w:rPr>
        <w:rFonts w:hint="default"/>
      </w:rPr>
    </w:lvl>
  </w:abstractNum>
  <w:num w:numId="1">
    <w:abstractNumId w:val="0"/>
  </w:num>
  <w:num w:numId="2">
    <w:abstractNumId w:val="1"/>
  </w:num>
  <w:num w:numId="3">
    <w:abstractNumId w:val="5"/>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2D"/>
    <w:rsid w:val="002151A7"/>
    <w:rsid w:val="00240F72"/>
    <w:rsid w:val="002B0D83"/>
    <w:rsid w:val="002D18AF"/>
    <w:rsid w:val="00840E0B"/>
    <w:rsid w:val="008949B4"/>
    <w:rsid w:val="00E6432D"/>
    <w:rsid w:val="0205618D"/>
    <w:rsid w:val="03693B99"/>
    <w:rsid w:val="048E41B4"/>
    <w:rsid w:val="09287E1F"/>
    <w:rsid w:val="0C5F2ABC"/>
    <w:rsid w:val="0D0C4991"/>
    <w:rsid w:val="10D8584B"/>
    <w:rsid w:val="110A5C1A"/>
    <w:rsid w:val="133217E3"/>
    <w:rsid w:val="15030D19"/>
    <w:rsid w:val="18541D02"/>
    <w:rsid w:val="1A503421"/>
    <w:rsid w:val="1B1D1919"/>
    <w:rsid w:val="1BC21DEC"/>
    <w:rsid w:val="1EF83379"/>
    <w:rsid w:val="1F6E7A13"/>
    <w:rsid w:val="1FC83300"/>
    <w:rsid w:val="1FEC481B"/>
    <w:rsid w:val="233A0043"/>
    <w:rsid w:val="24D13B33"/>
    <w:rsid w:val="26932D14"/>
    <w:rsid w:val="27377F55"/>
    <w:rsid w:val="292F0265"/>
    <w:rsid w:val="2A1F0E84"/>
    <w:rsid w:val="2AE871B1"/>
    <w:rsid w:val="2D8677CE"/>
    <w:rsid w:val="354C1956"/>
    <w:rsid w:val="35F220CC"/>
    <w:rsid w:val="362836D9"/>
    <w:rsid w:val="36DA563E"/>
    <w:rsid w:val="38E9294C"/>
    <w:rsid w:val="38FD755B"/>
    <w:rsid w:val="39540D31"/>
    <w:rsid w:val="39A4106F"/>
    <w:rsid w:val="3A8E68D0"/>
    <w:rsid w:val="3AFB0879"/>
    <w:rsid w:val="3CC30960"/>
    <w:rsid w:val="3D3A24BA"/>
    <w:rsid w:val="3F751FBB"/>
    <w:rsid w:val="44D35E90"/>
    <w:rsid w:val="45F16D79"/>
    <w:rsid w:val="46E64612"/>
    <w:rsid w:val="47D90EA7"/>
    <w:rsid w:val="4A31763B"/>
    <w:rsid w:val="4A936935"/>
    <w:rsid w:val="4AA30852"/>
    <w:rsid w:val="4BB52448"/>
    <w:rsid w:val="4E62467B"/>
    <w:rsid w:val="53462EFD"/>
    <w:rsid w:val="56392EB4"/>
    <w:rsid w:val="577A31BA"/>
    <w:rsid w:val="5834531D"/>
    <w:rsid w:val="59AB15BD"/>
    <w:rsid w:val="5B791407"/>
    <w:rsid w:val="5C564640"/>
    <w:rsid w:val="5E782B3A"/>
    <w:rsid w:val="5E9E708D"/>
    <w:rsid w:val="5EE27050"/>
    <w:rsid w:val="61343E0C"/>
    <w:rsid w:val="614B0B0D"/>
    <w:rsid w:val="62FB4EA3"/>
    <w:rsid w:val="644F3A09"/>
    <w:rsid w:val="65DC1560"/>
    <w:rsid w:val="69B16DD1"/>
    <w:rsid w:val="6BBE4CE4"/>
    <w:rsid w:val="6CB93D2A"/>
    <w:rsid w:val="6D352033"/>
    <w:rsid w:val="6F3D20AD"/>
    <w:rsid w:val="6FDF3F08"/>
    <w:rsid w:val="709F38B0"/>
    <w:rsid w:val="7211301E"/>
    <w:rsid w:val="76F66091"/>
    <w:rsid w:val="78A76AF2"/>
    <w:rsid w:val="7A263EF2"/>
    <w:rsid w:val="7AF35444"/>
    <w:rsid w:val="7D2E408B"/>
    <w:rsid w:val="7E1B142C"/>
    <w:rsid w:val="7E9F1D90"/>
    <w:rsid w:val="7F3A3D2E"/>
    <w:rsid w:val="7FC41B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9D9633-BD7A-4E98-BB64-5C7CEA60B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000000"/>
      <w:sz w:val="18"/>
      <w:szCs w:val="18"/>
      <w:u w:val="none"/>
    </w:rPr>
  </w:style>
  <w:style w:type="character" w:styleId="a4">
    <w:name w:val="Hyperlink"/>
    <w:basedOn w:val="a0"/>
    <w:rPr>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lzfff</cp:lastModifiedBy>
  <cp:revision>5</cp:revision>
  <dcterms:created xsi:type="dcterms:W3CDTF">2014-10-29T12:08:00Z</dcterms:created>
  <dcterms:modified xsi:type="dcterms:W3CDTF">2017-12-24T09:58:00Z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