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614CB4" w:rsidRPr="00614CB4" w:rsidTr="00614CB4">
        <w:trPr>
          <w:tblCellSpacing w:w="0" w:type="dxa"/>
          <w:jc w:val="center"/>
        </w:trPr>
        <w:tc>
          <w:tcPr>
            <w:tcW w:w="0" w:type="auto"/>
            <w:vAlign w:val="center"/>
            <w:hideMark/>
          </w:tcPr>
          <w:p w:rsidR="00614CB4" w:rsidRPr="00614CB4" w:rsidRDefault="00614CB4" w:rsidP="00614CB4">
            <w:pPr>
              <w:widowControl/>
              <w:jc w:val="center"/>
              <w:rPr>
                <w:rFonts w:ascii="黑体" w:eastAsia="黑体" w:hAnsi="宋体" w:cs="宋体" w:hint="eastAsia"/>
                <w:kern w:val="0"/>
                <w:sz w:val="36"/>
                <w:szCs w:val="36"/>
              </w:rPr>
            </w:pPr>
            <w:r w:rsidRPr="00614CB4">
              <w:rPr>
                <w:rFonts w:ascii="黑体" w:eastAsia="黑体" w:hAnsi="宋体" w:cs="宋体" w:hint="eastAsia"/>
                <w:b/>
                <w:bCs/>
                <w:kern w:val="0"/>
                <w:sz w:val="36"/>
                <w:szCs w:val="36"/>
              </w:rPr>
              <w:t xml:space="preserve">财政部 国家税务总局关于医疗卫生机构有关税收政策的通知 </w:t>
            </w:r>
            <w:r w:rsidRPr="00614CB4">
              <w:rPr>
                <w:rFonts w:ascii="宋体" w:eastAsia="黑体" w:hAnsi="宋体" w:cs="宋体" w:hint="eastAsia"/>
                <w:kern w:val="0"/>
                <w:sz w:val="36"/>
                <w:szCs w:val="36"/>
              </w:rPr>
              <w:t> </w:t>
            </w:r>
            <w:r w:rsidRPr="00614CB4">
              <w:rPr>
                <w:rFonts w:ascii="黑体" w:eastAsia="黑体" w:hAnsi="宋体" w:cs="宋体" w:hint="eastAsia"/>
                <w:kern w:val="0"/>
                <w:sz w:val="36"/>
                <w:szCs w:val="36"/>
              </w:rPr>
              <w:t xml:space="preserve"> </w:t>
            </w:r>
          </w:p>
        </w:tc>
      </w:tr>
      <w:tr w:rsidR="00614CB4" w:rsidRPr="00614CB4" w:rsidTr="00614CB4">
        <w:trPr>
          <w:trHeight w:val="240"/>
          <w:tblCellSpacing w:w="0" w:type="dxa"/>
          <w:jc w:val="center"/>
        </w:trPr>
        <w:tc>
          <w:tcPr>
            <w:tcW w:w="0" w:type="auto"/>
            <w:vAlign w:val="center"/>
            <w:hideMark/>
          </w:tcPr>
          <w:p w:rsidR="00614CB4" w:rsidRPr="00614CB4" w:rsidRDefault="00614CB4" w:rsidP="00614CB4">
            <w:pPr>
              <w:widowControl/>
              <w:jc w:val="left"/>
              <w:rPr>
                <w:rFonts w:ascii="宋体" w:eastAsia="宋体" w:hAnsi="宋体" w:cs="宋体"/>
                <w:kern w:val="0"/>
                <w:sz w:val="24"/>
                <w:szCs w:val="24"/>
              </w:rPr>
            </w:pPr>
            <w:r w:rsidRPr="00614CB4">
              <w:rPr>
                <w:rFonts w:ascii="宋体" w:eastAsia="宋体" w:hAnsi="宋体" w:cs="宋体"/>
                <w:kern w:val="0"/>
                <w:sz w:val="24"/>
                <w:szCs w:val="24"/>
              </w:rPr>
              <w:pict>
                <v:rect id="_x0000_i1025" style="width:0;height:.75pt" o:hralign="center" o:hrstd="t" o:hr="t" fillcolor="#aca899" stroked="f"/>
              </w:pict>
            </w:r>
          </w:p>
        </w:tc>
      </w:tr>
      <w:tr w:rsidR="00614CB4" w:rsidRPr="00614CB4" w:rsidTr="00614CB4">
        <w:trPr>
          <w:trHeight w:val="375"/>
          <w:tblCellSpacing w:w="0" w:type="dxa"/>
          <w:jc w:val="center"/>
        </w:trPr>
        <w:tc>
          <w:tcPr>
            <w:tcW w:w="0" w:type="auto"/>
            <w:vAlign w:val="center"/>
            <w:hideMark/>
          </w:tcPr>
          <w:p w:rsidR="00614CB4" w:rsidRPr="00614CB4" w:rsidRDefault="00614CB4" w:rsidP="00614CB4">
            <w:pPr>
              <w:widowControl/>
              <w:jc w:val="center"/>
              <w:rPr>
                <w:rFonts w:ascii="宋体" w:eastAsia="宋体" w:hAnsi="宋体" w:cs="宋体"/>
                <w:kern w:val="0"/>
                <w:sz w:val="24"/>
                <w:szCs w:val="24"/>
              </w:rPr>
            </w:pPr>
            <w:r w:rsidRPr="00614CB4">
              <w:rPr>
                <w:rFonts w:ascii="宋体" w:eastAsia="宋体" w:hAnsi="宋体" w:cs="宋体"/>
                <w:kern w:val="0"/>
                <w:sz w:val="24"/>
                <w:szCs w:val="24"/>
              </w:rPr>
              <w:t>财税〔2000〕42号 </w:t>
            </w:r>
          </w:p>
        </w:tc>
      </w:tr>
      <w:tr w:rsidR="00614CB4" w:rsidRPr="00614CB4" w:rsidTr="00614CB4">
        <w:trPr>
          <w:tblCellSpacing w:w="0" w:type="dxa"/>
          <w:jc w:val="center"/>
        </w:trPr>
        <w:tc>
          <w:tcPr>
            <w:tcW w:w="0" w:type="auto"/>
            <w:vAlign w:val="center"/>
            <w:hideMark/>
          </w:tcPr>
          <w:p w:rsidR="00614CB4" w:rsidRPr="00614CB4" w:rsidRDefault="00614CB4" w:rsidP="00614CB4">
            <w:pPr>
              <w:widowControl/>
              <w:jc w:val="right"/>
              <w:rPr>
                <w:rFonts w:ascii="宋体" w:eastAsia="宋体" w:hAnsi="宋体" w:cs="宋体"/>
                <w:kern w:val="0"/>
                <w:sz w:val="24"/>
                <w:szCs w:val="24"/>
              </w:rPr>
            </w:pPr>
            <w:r w:rsidRPr="00614CB4">
              <w:rPr>
                <w:rFonts w:ascii="宋体" w:eastAsia="宋体" w:hAnsi="宋体" w:cs="宋体"/>
                <w:color w:val="FF0000"/>
                <w:kern w:val="0"/>
                <w:sz w:val="24"/>
                <w:szCs w:val="24"/>
              </w:rPr>
              <w:t>条款失效</w:t>
            </w:r>
            <w:r w:rsidRPr="00614CB4">
              <w:rPr>
                <w:rFonts w:ascii="宋体" w:eastAsia="宋体" w:hAnsi="宋体" w:cs="宋体"/>
                <w:kern w:val="0"/>
                <w:sz w:val="24"/>
                <w:szCs w:val="24"/>
              </w:rPr>
              <w:t>  </w:t>
            </w:r>
          </w:p>
        </w:tc>
      </w:tr>
    </w:tbl>
    <w:p w:rsidR="00614CB4" w:rsidRPr="00614CB4" w:rsidRDefault="00614CB4" w:rsidP="00614CB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tblPr>
      <w:tblGrid>
        <w:gridCol w:w="7891"/>
      </w:tblGrid>
      <w:tr w:rsidR="00614CB4" w:rsidRPr="00614CB4" w:rsidTr="00614CB4">
        <w:trPr>
          <w:tblCellSpacing w:w="0" w:type="dxa"/>
          <w:jc w:val="center"/>
        </w:trPr>
        <w:tc>
          <w:tcPr>
            <w:tcW w:w="0" w:type="auto"/>
            <w:vAlign w:val="center"/>
            <w:hideMark/>
          </w:tcPr>
          <w:p w:rsidR="00614CB4" w:rsidRPr="00614CB4" w:rsidRDefault="00614CB4" w:rsidP="00614CB4">
            <w:pPr>
              <w:widowControl/>
              <w:spacing w:line="540" w:lineRule="atLeast"/>
              <w:jc w:val="left"/>
              <w:rPr>
                <w:rFonts w:ascii="宋体" w:eastAsia="宋体" w:hAnsi="宋体" w:cs="宋体"/>
                <w:color w:val="000000"/>
                <w:kern w:val="0"/>
                <w:sz w:val="24"/>
                <w:szCs w:val="24"/>
              </w:rPr>
            </w:pPr>
            <w:r w:rsidRPr="00614CB4">
              <w:rPr>
                <w:rFonts w:ascii="宋体" w:eastAsia="宋体" w:hAnsi="宋体" w:cs="宋体" w:hint="eastAsia"/>
                <w:color w:val="000000"/>
                <w:kern w:val="0"/>
                <w:sz w:val="24"/>
                <w:szCs w:val="24"/>
              </w:rPr>
              <w:t>    </w:t>
            </w:r>
            <w:r w:rsidRPr="00614CB4">
              <w:rPr>
                <w:rFonts w:ascii="宋体" w:eastAsia="宋体" w:hAnsi="宋体" w:cs="宋体" w:hint="eastAsia"/>
                <w:color w:val="FF0000"/>
                <w:kern w:val="0"/>
                <w:sz w:val="24"/>
                <w:szCs w:val="24"/>
              </w:rPr>
              <w:t>注释：条款失效，有关营业税规定失效。参见：《财政部 国家税务总局关于公布若干废止和失效的营业税规范性文件的通知》，财税〔2009〕61号。</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为了贯彻落实《国务院办公厅转发国务院体改办等部门关于城镇医药卫生体制改革指导意见的通知》（国办发〔2000〕16号），促进我国医疗卫生事业的发展，经国务院批准，现将医疗卫生机构有关税收政策通知如下：</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一、关于非营利性医疗机构的税收政策</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（一）对非营利性医疗机构按照国家规定的价格取得的医疗服务收入，免征各项税收。不按照国家规定价格取得的医疗服务收入不得享受这项政策。</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医疗服务是指医疗服务机构对患者进行检查、诊断、治疗、康复和提供预防保健、接生、计划生育方面的服务，以及与这些服务有关的提供药品、医用材料器具、救护车、病房住宿和伙食的业务（下同）。</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二）对非营利性医疗机构从事非医疗服务取得的收入，如租赁收入、财产转让收入、培训收入、对外投资收入等应按规定征收各项税收。非营利性医疗机构将取得的非医疗服务收入，直接用于改善医疗卫生服务条件的部分，经税务部门审核批准可抵扣其应纳税所得额，就其余额征收企业所得税。</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（三）对非营利性医疗机构自产自用的制剂，免征增值税。</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（四）非营利性医疗机构的药房分离为独立的药品零售企业，应按规定征收各项税收。</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（五）对非营利性医疗机构自用的房产、土地、车船，免征房产税、城</w:t>
            </w:r>
            <w:r w:rsidRPr="00614CB4">
              <w:rPr>
                <w:rFonts w:ascii="宋体" w:eastAsia="宋体" w:hAnsi="宋体" w:cs="宋体" w:hint="eastAsia"/>
                <w:color w:val="000000"/>
                <w:kern w:val="0"/>
                <w:sz w:val="24"/>
                <w:szCs w:val="24"/>
              </w:rPr>
              <w:lastRenderedPageBreak/>
              <w:t>镇土地使用税和车船使用税。</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二、关于营利性医疗机构的税收政策</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一）对营利性医疗机构取得的收入，按规定征收各项税收。但为了支持营利性医疗机构的发展，对营利性医疗机构取得的收入，直接用于改善医疗卫生条件的，自其取得执业登记之日起，3年内给予下列优惠：对其取得的医疗服务收入免征营业税；对其自产自用的制剂免征增值税；对营利性医疗机构自用的房产、土地、车船免征房产税、城镇土地使用税和车船使用税。3年免税期满后恢复征税。</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（二）对营利性医疗机构的药房分离为独立的药品零售企业，应按规定征收各项税收。</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三、关于疾病控制机构和妇幼保健机构等卫生机构的税收政策</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一）对疾病控制机构和妇幼保健机构等卫生机构按照国家规定的价格取得的卫生服务收入（含疫苗接种和调拨、销售收入），免征各项税收。不按照国家规定的价格取得的卫生服务收入不得享受这项政策。对疾病控制机构和妇幼保健等卫生机构取得的其他经营收入如直接用于改善</w:t>
            </w:r>
            <w:proofErr w:type="gramStart"/>
            <w:r w:rsidRPr="00614CB4">
              <w:rPr>
                <w:rFonts w:ascii="宋体" w:eastAsia="宋体" w:hAnsi="宋体" w:cs="宋体" w:hint="eastAsia"/>
                <w:color w:val="000000"/>
                <w:kern w:val="0"/>
                <w:sz w:val="24"/>
                <w:szCs w:val="24"/>
              </w:rPr>
              <w:t>本卫生</w:t>
            </w:r>
            <w:proofErr w:type="gramEnd"/>
            <w:r w:rsidRPr="00614CB4">
              <w:rPr>
                <w:rFonts w:ascii="宋体" w:eastAsia="宋体" w:hAnsi="宋体" w:cs="宋体" w:hint="eastAsia"/>
                <w:color w:val="000000"/>
                <w:kern w:val="0"/>
                <w:sz w:val="24"/>
                <w:szCs w:val="24"/>
              </w:rPr>
              <w:t>机构卫生服务条件的，经税务部门审核批准可抵扣其应纳税所得额，就其余额征收企业所得税。</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（二）对疾病控制机构和妇幼保健机构等卫生机构自用的房产、土地、车船，免征房产税、城镇土地使用税和车船使用税。</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医疗机构需要书面向卫生行政主管部门申明其性质，按《医疗机构管理条例》进行设置审批和登记注册，并由接受其登记注册的卫生行政部门核定，在执业登记中注明“非营利性医疗机构”和“营利性医疗机构”。</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上述医疗机构具体包括：各级各类医院、门诊部（所）、社区卫生服务中心（站）、急救中心（站）、城乡卫生院、护理院（所）、疗养院、临床检验中心等。上述疾病控制、妇幼保健等卫生机构具体包括：各级政府及有</w:t>
            </w:r>
            <w:r w:rsidRPr="00614CB4">
              <w:rPr>
                <w:rFonts w:ascii="宋体" w:eastAsia="宋体" w:hAnsi="宋体" w:cs="宋体" w:hint="eastAsia"/>
                <w:color w:val="000000"/>
                <w:kern w:val="0"/>
                <w:sz w:val="24"/>
                <w:szCs w:val="24"/>
              </w:rPr>
              <w:lastRenderedPageBreak/>
              <w:t>关部门举办的卫生防疫站（疾病控制中心）、各种专科疾病防治站（所），各级政府举办的妇幼保健所（站）、母婴保健机构、儿童保健机构等，各级政府举办的血站（血液中心）。</w:t>
            </w:r>
          </w:p>
          <w:p w:rsidR="00614CB4" w:rsidRPr="00614CB4" w:rsidRDefault="00614CB4" w:rsidP="00614CB4">
            <w:pPr>
              <w:widowControl/>
              <w:spacing w:line="540" w:lineRule="atLeast"/>
              <w:jc w:val="left"/>
              <w:rPr>
                <w:rFonts w:ascii="宋体" w:eastAsia="宋体" w:hAnsi="宋体" w:cs="宋体" w:hint="eastAsia"/>
                <w:color w:val="000000"/>
                <w:kern w:val="0"/>
                <w:sz w:val="24"/>
                <w:szCs w:val="24"/>
              </w:rPr>
            </w:pPr>
            <w:r w:rsidRPr="00614CB4">
              <w:rPr>
                <w:rFonts w:ascii="宋体" w:eastAsia="宋体" w:hAnsi="宋体" w:cs="宋体" w:hint="eastAsia"/>
                <w:color w:val="000000"/>
                <w:kern w:val="0"/>
                <w:sz w:val="24"/>
                <w:szCs w:val="24"/>
              </w:rPr>
              <w:t>    本通知自发布之日起执行。</w:t>
            </w:r>
          </w:p>
          <w:p w:rsidR="00614CB4" w:rsidRPr="00614CB4" w:rsidRDefault="00614CB4" w:rsidP="00614CB4">
            <w:pPr>
              <w:widowControl/>
              <w:spacing w:before="100" w:beforeAutospacing="1" w:after="100" w:afterAutospacing="1" w:line="540" w:lineRule="atLeast"/>
              <w:jc w:val="left"/>
              <w:rPr>
                <w:rFonts w:ascii="宋体" w:eastAsia="宋体" w:hAnsi="宋体" w:cs="宋体"/>
                <w:color w:val="000000"/>
                <w:kern w:val="0"/>
                <w:sz w:val="24"/>
                <w:szCs w:val="24"/>
              </w:rPr>
            </w:pPr>
          </w:p>
        </w:tc>
      </w:tr>
    </w:tbl>
    <w:p w:rsidR="009F6944" w:rsidRPr="00614CB4" w:rsidRDefault="009F6944"/>
    <w:sectPr w:rsidR="009F6944" w:rsidRPr="00614CB4"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4CB4"/>
    <w:rsid w:val="00614CB4"/>
    <w:rsid w:val="009F6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4CB4"/>
    <w:rPr>
      <w:color w:val="0000FF"/>
      <w:u w:val="single"/>
    </w:rPr>
  </w:style>
  <w:style w:type="paragraph" w:styleId="a4">
    <w:name w:val="Normal (Web)"/>
    <w:basedOn w:val="a"/>
    <w:uiPriority w:val="99"/>
    <w:unhideWhenUsed/>
    <w:rsid w:val="00614C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06390">
      <w:bodyDiv w:val="1"/>
      <w:marLeft w:val="0"/>
      <w:marRight w:val="0"/>
      <w:marTop w:val="0"/>
      <w:marBottom w:val="0"/>
      <w:divBdr>
        <w:top w:val="none" w:sz="0" w:space="0" w:color="auto"/>
        <w:left w:val="none" w:sz="0" w:space="0" w:color="auto"/>
        <w:bottom w:val="none" w:sz="0" w:space="0" w:color="auto"/>
        <w:right w:val="none" w:sz="0" w:space="0" w:color="auto"/>
      </w:divBdr>
      <w:divsChild>
        <w:div w:id="230846528">
          <w:marLeft w:val="0"/>
          <w:marRight w:val="0"/>
          <w:marTop w:val="0"/>
          <w:marBottom w:val="0"/>
          <w:divBdr>
            <w:top w:val="none" w:sz="0" w:space="0" w:color="auto"/>
            <w:left w:val="none" w:sz="0" w:space="0" w:color="auto"/>
            <w:bottom w:val="none" w:sz="0" w:space="0" w:color="auto"/>
            <w:right w:val="none" w:sz="0" w:space="0" w:color="auto"/>
          </w:divBdr>
        </w:div>
        <w:div w:id="1990011185">
          <w:marLeft w:val="0"/>
          <w:marRight w:val="0"/>
          <w:marTop w:val="0"/>
          <w:marBottom w:val="0"/>
          <w:divBdr>
            <w:top w:val="none" w:sz="0" w:space="0" w:color="auto"/>
            <w:left w:val="none" w:sz="0" w:space="0" w:color="auto"/>
            <w:bottom w:val="none" w:sz="0" w:space="0" w:color="auto"/>
            <w:right w:val="none" w:sz="0" w:space="0" w:color="auto"/>
          </w:divBdr>
        </w:div>
        <w:div w:id="1530601638">
          <w:marLeft w:val="0"/>
          <w:marRight w:val="0"/>
          <w:marTop w:val="0"/>
          <w:marBottom w:val="0"/>
          <w:divBdr>
            <w:top w:val="none" w:sz="0" w:space="0" w:color="auto"/>
            <w:left w:val="none" w:sz="0" w:space="0" w:color="auto"/>
            <w:bottom w:val="none" w:sz="0" w:space="0" w:color="auto"/>
            <w:right w:val="none" w:sz="0" w:space="0" w:color="auto"/>
          </w:divBdr>
        </w:div>
        <w:div w:id="281881611">
          <w:marLeft w:val="0"/>
          <w:marRight w:val="0"/>
          <w:marTop w:val="0"/>
          <w:marBottom w:val="0"/>
          <w:divBdr>
            <w:top w:val="none" w:sz="0" w:space="0" w:color="auto"/>
            <w:left w:val="none" w:sz="0" w:space="0" w:color="auto"/>
            <w:bottom w:val="none" w:sz="0" w:space="0" w:color="auto"/>
            <w:right w:val="none" w:sz="0" w:space="0" w:color="auto"/>
          </w:divBdr>
        </w:div>
        <w:div w:id="1100682338">
          <w:marLeft w:val="0"/>
          <w:marRight w:val="0"/>
          <w:marTop w:val="0"/>
          <w:marBottom w:val="0"/>
          <w:divBdr>
            <w:top w:val="none" w:sz="0" w:space="0" w:color="auto"/>
            <w:left w:val="none" w:sz="0" w:space="0" w:color="auto"/>
            <w:bottom w:val="none" w:sz="0" w:space="0" w:color="auto"/>
            <w:right w:val="none" w:sz="0" w:space="0" w:color="auto"/>
          </w:divBdr>
        </w:div>
        <w:div w:id="146476096">
          <w:marLeft w:val="0"/>
          <w:marRight w:val="0"/>
          <w:marTop w:val="0"/>
          <w:marBottom w:val="0"/>
          <w:divBdr>
            <w:top w:val="none" w:sz="0" w:space="0" w:color="auto"/>
            <w:left w:val="none" w:sz="0" w:space="0" w:color="auto"/>
            <w:bottom w:val="none" w:sz="0" w:space="0" w:color="auto"/>
            <w:right w:val="none" w:sz="0" w:space="0" w:color="auto"/>
          </w:divBdr>
        </w:div>
        <w:div w:id="127207403">
          <w:marLeft w:val="0"/>
          <w:marRight w:val="0"/>
          <w:marTop w:val="0"/>
          <w:marBottom w:val="0"/>
          <w:divBdr>
            <w:top w:val="none" w:sz="0" w:space="0" w:color="auto"/>
            <w:left w:val="none" w:sz="0" w:space="0" w:color="auto"/>
            <w:bottom w:val="none" w:sz="0" w:space="0" w:color="auto"/>
            <w:right w:val="none" w:sz="0" w:space="0" w:color="auto"/>
          </w:divBdr>
        </w:div>
        <w:div w:id="1056853836">
          <w:marLeft w:val="0"/>
          <w:marRight w:val="0"/>
          <w:marTop w:val="0"/>
          <w:marBottom w:val="0"/>
          <w:divBdr>
            <w:top w:val="none" w:sz="0" w:space="0" w:color="auto"/>
            <w:left w:val="none" w:sz="0" w:space="0" w:color="auto"/>
            <w:bottom w:val="none" w:sz="0" w:space="0" w:color="auto"/>
            <w:right w:val="none" w:sz="0" w:space="0" w:color="auto"/>
          </w:divBdr>
        </w:div>
        <w:div w:id="844633946">
          <w:marLeft w:val="0"/>
          <w:marRight w:val="0"/>
          <w:marTop w:val="0"/>
          <w:marBottom w:val="0"/>
          <w:divBdr>
            <w:top w:val="none" w:sz="0" w:space="0" w:color="auto"/>
            <w:left w:val="none" w:sz="0" w:space="0" w:color="auto"/>
            <w:bottom w:val="none" w:sz="0" w:space="0" w:color="auto"/>
            <w:right w:val="none" w:sz="0" w:space="0" w:color="auto"/>
          </w:divBdr>
        </w:div>
        <w:div w:id="1937324787">
          <w:marLeft w:val="0"/>
          <w:marRight w:val="0"/>
          <w:marTop w:val="0"/>
          <w:marBottom w:val="0"/>
          <w:divBdr>
            <w:top w:val="none" w:sz="0" w:space="0" w:color="auto"/>
            <w:left w:val="none" w:sz="0" w:space="0" w:color="auto"/>
            <w:bottom w:val="none" w:sz="0" w:space="0" w:color="auto"/>
            <w:right w:val="none" w:sz="0" w:space="0" w:color="auto"/>
          </w:divBdr>
        </w:div>
        <w:div w:id="298583255">
          <w:marLeft w:val="0"/>
          <w:marRight w:val="0"/>
          <w:marTop w:val="0"/>
          <w:marBottom w:val="0"/>
          <w:divBdr>
            <w:top w:val="none" w:sz="0" w:space="0" w:color="auto"/>
            <w:left w:val="none" w:sz="0" w:space="0" w:color="auto"/>
            <w:bottom w:val="none" w:sz="0" w:space="0" w:color="auto"/>
            <w:right w:val="none" w:sz="0" w:space="0" w:color="auto"/>
          </w:divBdr>
        </w:div>
        <w:div w:id="680280078">
          <w:marLeft w:val="0"/>
          <w:marRight w:val="0"/>
          <w:marTop w:val="0"/>
          <w:marBottom w:val="0"/>
          <w:divBdr>
            <w:top w:val="none" w:sz="0" w:space="0" w:color="auto"/>
            <w:left w:val="none" w:sz="0" w:space="0" w:color="auto"/>
            <w:bottom w:val="none" w:sz="0" w:space="0" w:color="auto"/>
            <w:right w:val="none" w:sz="0" w:space="0" w:color="auto"/>
          </w:divBdr>
        </w:div>
        <w:div w:id="2093812869">
          <w:marLeft w:val="0"/>
          <w:marRight w:val="0"/>
          <w:marTop w:val="0"/>
          <w:marBottom w:val="0"/>
          <w:divBdr>
            <w:top w:val="none" w:sz="0" w:space="0" w:color="auto"/>
            <w:left w:val="none" w:sz="0" w:space="0" w:color="auto"/>
            <w:bottom w:val="none" w:sz="0" w:space="0" w:color="auto"/>
            <w:right w:val="none" w:sz="0" w:space="0" w:color="auto"/>
          </w:divBdr>
        </w:div>
        <w:div w:id="1270040098">
          <w:marLeft w:val="0"/>
          <w:marRight w:val="0"/>
          <w:marTop w:val="0"/>
          <w:marBottom w:val="0"/>
          <w:divBdr>
            <w:top w:val="none" w:sz="0" w:space="0" w:color="auto"/>
            <w:left w:val="none" w:sz="0" w:space="0" w:color="auto"/>
            <w:bottom w:val="none" w:sz="0" w:space="0" w:color="auto"/>
            <w:right w:val="none" w:sz="0" w:space="0" w:color="auto"/>
          </w:divBdr>
        </w:div>
        <w:div w:id="882643741">
          <w:marLeft w:val="0"/>
          <w:marRight w:val="0"/>
          <w:marTop w:val="0"/>
          <w:marBottom w:val="0"/>
          <w:divBdr>
            <w:top w:val="none" w:sz="0" w:space="0" w:color="auto"/>
            <w:left w:val="none" w:sz="0" w:space="0" w:color="auto"/>
            <w:bottom w:val="none" w:sz="0" w:space="0" w:color="auto"/>
            <w:right w:val="none" w:sz="0" w:space="0" w:color="auto"/>
          </w:divBdr>
        </w:div>
        <w:div w:id="1411468748">
          <w:marLeft w:val="0"/>
          <w:marRight w:val="0"/>
          <w:marTop w:val="0"/>
          <w:marBottom w:val="0"/>
          <w:divBdr>
            <w:top w:val="none" w:sz="0" w:space="0" w:color="auto"/>
            <w:left w:val="none" w:sz="0" w:space="0" w:color="auto"/>
            <w:bottom w:val="none" w:sz="0" w:space="0" w:color="auto"/>
            <w:right w:val="none" w:sz="0" w:space="0" w:color="auto"/>
          </w:divBdr>
        </w:div>
        <w:div w:id="607741837">
          <w:marLeft w:val="0"/>
          <w:marRight w:val="0"/>
          <w:marTop w:val="0"/>
          <w:marBottom w:val="0"/>
          <w:divBdr>
            <w:top w:val="none" w:sz="0" w:space="0" w:color="auto"/>
            <w:left w:val="none" w:sz="0" w:space="0" w:color="auto"/>
            <w:bottom w:val="none" w:sz="0" w:space="0" w:color="auto"/>
            <w:right w:val="none" w:sz="0" w:space="0" w:color="auto"/>
          </w:divBdr>
        </w:div>
        <w:div w:id="913927344">
          <w:marLeft w:val="0"/>
          <w:marRight w:val="0"/>
          <w:marTop w:val="0"/>
          <w:marBottom w:val="0"/>
          <w:divBdr>
            <w:top w:val="none" w:sz="0" w:space="0" w:color="auto"/>
            <w:left w:val="none" w:sz="0" w:space="0" w:color="auto"/>
            <w:bottom w:val="none" w:sz="0" w:space="0" w:color="auto"/>
            <w:right w:val="none" w:sz="0" w:space="0" w:color="auto"/>
          </w:divBdr>
        </w:div>
        <w:div w:id="1224755506">
          <w:marLeft w:val="0"/>
          <w:marRight w:val="0"/>
          <w:marTop w:val="0"/>
          <w:marBottom w:val="0"/>
          <w:divBdr>
            <w:top w:val="none" w:sz="0" w:space="0" w:color="auto"/>
            <w:left w:val="none" w:sz="0" w:space="0" w:color="auto"/>
            <w:bottom w:val="none" w:sz="0" w:space="0" w:color="auto"/>
            <w:right w:val="none" w:sz="0" w:space="0" w:color="auto"/>
          </w:divBdr>
        </w:div>
        <w:div w:id="794982350">
          <w:marLeft w:val="0"/>
          <w:marRight w:val="0"/>
          <w:marTop w:val="0"/>
          <w:marBottom w:val="0"/>
          <w:divBdr>
            <w:top w:val="none" w:sz="0" w:space="0" w:color="auto"/>
            <w:left w:val="none" w:sz="0" w:space="0" w:color="auto"/>
            <w:bottom w:val="none" w:sz="0" w:space="0" w:color="auto"/>
            <w:right w:val="none" w:sz="0" w:space="0" w:color="auto"/>
          </w:divBdr>
        </w:div>
        <w:div w:id="92707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222</Words>
  <Characters>1271</Characters>
  <Application>Microsoft Office Word</Application>
  <DocSecurity>0</DocSecurity>
  <Lines>10</Lines>
  <Paragraphs>2</Paragraphs>
  <ScaleCrop>false</ScaleCrop>
  <Company>Sky123.Org</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2016-08-02T07:38:00Z</dcterms:created>
  <dcterms:modified xsi:type="dcterms:W3CDTF">2016-08-02T07:41:00Z</dcterms:modified>
</cp:coreProperties>
</file>