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650" w:type="pct"/>
        <w:jc w:val="center"/>
        <w:tblCellSpacing w:w="0" w:type="dxa"/>
        <w:tblCellMar>
          <w:left w:w="0" w:type="dxa"/>
          <w:right w:w="0" w:type="dxa"/>
        </w:tblCellMar>
        <w:tblLook w:val="04A0"/>
      </w:tblPr>
      <w:tblGrid>
        <w:gridCol w:w="7725"/>
      </w:tblGrid>
      <w:tr w:rsidR="00F267FA" w:rsidRPr="00F267FA" w:rsidTr="00F267FA">
        <w:trPr>
          <w:tblCellSpacing w:w="0" w:type="dxa"/>
          <w:jc w:val="center"/>
        </w:trPr>
        <w:tc>
          <w:tcPr>
            <w:tcW w:w="0" w:type="auto"/>
            <w:vAlign w:val="center"/>
            <w:hideMark/>
          </w:tcPr>
          <w:p w:rsidR="00F267FA" w:rsidRPr="00F267FA" w:rsidRDefault="00F267FA" w:rsidP="00F267FA">
            <w:pPr>
              <w:widowControl/>
              <w:jc w:val="center"/>
              <w:rPr>
                <w:rFonts w:ascii="黑体" w:eastAsia="黑体" w:hAnsi="宋体" w:cs="宋体" w:hint="eastAsia"/>
                <w:kern w:val="0"/>
                <w:sz w:val="36"/>
                <w:szCs w:val="36"/>
              </w:rPr>
            </w:pPr>
            <w:r w:rsidRPr="00F267FA">
              <w:rPr>
                <w:rFonts w:ascii="黑体" w:eastAsia="黑体" w:hAnsi="宋体" w:cs="宋体" w:hint="eastAsia"/>
                <w:b/>
                <w:bCs/>
                <w:kern w:val="0"/>
                <w:sz w:val="36"/>
                <w:szCs w:val="36"/>
              </w:rPr>
              <w:t xml:space="preserve">国家税务总局关于拍卖行取得的拍卖收入征收增值税、营业税有关问题的通知 </w:t>
            </w:r>
            <w:r w:rsidRPr="00F267FA">
              <w:rPr>
                <w:rFonts w:ascii="宋体" w:eastAsia="黑体" w:hAnsi="宋体" w:cs="宋体" w:hint="eastAsia"/>
                <w:kern w:val="0"/>
                <w:sz w:val="36"/>
                <w:szCs w:val="36"/>
              </w:rPr>
              <w:t> </w:t>
            </w:r>
            <w:r w:rsidRPr="00F267FA">
              <w:rPr>
                <w:rFonts w:ascii="黑体" w:eastAsia="黑体" w:hAnsi="宋体" w:cs="宋体" w:hint="eastAsia"/>
                <w:kern w:val="0"/>
                <w:sz w:val="36"/>
                <w:szCs w:val="36"/>
              </w:rPr>
              <w:t xml:space="preserve"> </w:t>
            </w:r>
          </w:p>
        </w:tc>
      </w:tr>
      <w:tr w:rsidR="00F267FA" w:rsidRPr="00F267FA" w:rsidTr="00F267FA">
        <w:trPr>
          <w:trHeight w:val="240"/>
          <w:tblCellSpacing w:w="0" w:type="dxa"/>
          <w:jc w:val="center"/>
        </w:trPr>
        <w:tc>
          <w:tcPr>
            <w:tcW w:w="0" w:type="auto"/>
            <w:vAlign w:val="center"/>
            <w:hideMark/>
          </w:tcPr>
          <w:p w:rsidR="00F267FA" w:rsidRPr="00F267FA" w:rsidRDefault="00F267FA" w:rsidP="00F267FA">
            <w:pPr>
              <w:widowControl/>
              <w:jc w:val="left"/>
              <w:rPr>
                <w:rFonts w:ascii="宋体" w:eastAsia="宋体" w:hAnsi="宋体" w:cs="宋体"/>
                <w:kern w:val="0"/>
                <w:sz w:val="24"/>
                <w:szCs w:val="24"/>
              </w:rPr>
            </w:pPr>
            <w:r w:rsidRPr="00F267FA">
              <w:rPr>
                <w:rFonts w:ascii="宋体" w:eastAsia="宋体" w:hAnsi="宋体" w:cs="宋体"/>
                <w:kern w:val="0"/>
                <w:sz w:val="24"/>
                <w:szCs w:val="24"/>
              </w:rPr>
              <w:pict>
                <v:rect id="_x0000_i1025" style="width:0;height:.75pt" o:hralign="center" o:hrstd="t" o:hr="t" fillcolor="#aca899" stroked="f"/>
              </w:pict>
            </w:r>
          </w:p>
        </w:tc>
      </w:tr>
      <w:tr w:rsidR="00F267FA" w:rsidRPr="00F267FA" w:rsidTr="00F267FA">
        <w:trPr>
          <w:trHeight w:val="375"/>
          <w:tblCellSpacing w:w="0" w:type="dxa"/>
          <w:jc w:val="center"/>
        </w:trPr>
        <w:tc>
          <w:tcPr>
            <w:tcW w:w="0" w:type="auto"/>
            <w:vAlign w:val="center"/>
            <w:hideMark/>
          </w:tcPr>
          <w:p w:rsidR="00F267FA" w:rsidRPr="00F267FA" w:rsidRDefault="00F267FA" w:rsidP="00F267FA">
            <w:pPr>
              <w:widowControl/>
              <w:jc w:val="center"/>
              <w:rPr>
                <w:rFonts w:ascii="宋体" w:eastAsia="宋体" w:hAnsi="宋体" w:cs="宋体"/>
                <w:kern w:val="0"/>
                <w:sz w:val="24"/>
                <w:szCs w:val="24"/>
              </w:rPr>
            </w:pPr>
            <w:r w:rsidRPr="00F267FA">
              <w:rPr>
                <w:rFonts w:ascii="宋体" w:eastAsia="宋体" w:hAnsi="宋体" w:cs="宋体"/>
                <w:kern w:val="0"/>
                <w:sz w:val="24"/>
                <w:szCs w:val="24"/>
              </w:rPr>
              <w:t>国税发〔1999〕40号 </w:t>
            </w:r>
          </w:p>
        </w:tc>
      </w:tr>
      <w:tr w:rsidR="00F267FA" w:rsidRPr="00F267FA" w:rsidTr="00F267FA">
        <w:trPr>
          <w:tblCellSpacing w:w="0" w:type="dxa"/>
          <w:jc w:val="center"/>
        </w:trPr>
        <w:tc>
          <w:tcPr>
            <w:tcW w:w="0" w:type="auto"/>
            <w:vAlign w:val="center"/>
            <w:hideMark/>
          </w:tcPr>
          <w:p w:rsidR="00F267FA" w:rsidRPr="00F267FA" w:rsidRDefault="00F267FA" w:rsidP="00F267FA">
            <w:pPr>
              <w:widowControl/>
              <w:jc w:val="right"/>
              <w:rPr>
                <w:rFonts w:ascii="宋体" w:eastAsia="宋体" w:hAnsi="宋体" w:cs="宋体"/>
                <w:kern w:val="0"/>
                <w:sz w:val="24"/>
                <w:szCs w:val="24"/>
              </w:rPr>
            </w:pPr>
            <w:r w:rsidRPr="00F267FA">
              <w:rPr>
                <w:rFonts w:ascii="宋体" w:eastAsia="宋体" w:hAnsi="宋体" w:cs="宋体"/>
                <w:color w:val="FF0000"/>
                <w:kern w:val="0"/>
                <w:sz w:val="24"/>
                <w:szCs w:val="24"/>
              </w:rPr>
              <w:t>条款失效</w:t>
            </w:r>
            <w:r w:rsidRPr="00F267FA">
              <w:rPr>
                <w:rFonts w:ascii="宋体" w:eastAsia="宋体" w:hAnsi="宋体" w:cs="宋体"/>
                <w:kern w:val="0"/>
                <w:sz w:val="24"/>
                <w:szCs w:val="24"/>
              </w:rPr>
              <w:t>   </w:t>
            </w:r>
          </w:p>
        </w:tc>
      </w:tr>
    </w:tbl>
    <w:p w:rsidR="00F267FA" w:rsidRPr="00F267FA" w:rsidRDefault="00F267FA" w:rsidP="00F267FA">
      <w:pPr>
        <w:widowControl/>
        <w:jc w:val="center"/>
        <w:rPr>
          <w:rFonts w:ascii="宋体" w:eastAsia="宋体" w:hAnsi="宋体" w:cs="宋体"/>
          <w:vanish/>
          <w:kern w:val="0"/>
          <w:sz w:val="24"/>
          <w:szCs w:val="24"/>
        </w:rPr>
      </w:pPr>
    </w:p>
    <w:tbl>
      <w:tblPr>
        <w:tblW w:w="4750" w:type="pct"/>
        <w:jc w:val="center"/>
        <w:tblCellSpacing w:w="0" w:type="dxa"/>
        <w:tblCellMar>
          <w:left w:w="0" w:type="dxa"/>
          <w:right w:w="0" w:type="dxa"/>
        </w:tblCellMar>
        <w:tblLook w:val="04A0"/>
      </w:tblPr>
      <w:tblGrid>
        <w:gridCol w:w="7891"/>
      </w:tblGrid>
      <w:tr w:rsidR="00F267FA" w:rsidRPr="00F267FA" w:rsidTr="00F267FA">
        <w:trPr>
          <w:tblCellSpacing w:w="0" w:type="dxa"/>
          <w:jc w:val="center"/>
        </w:trPr>
        <w:tc>
          <w:tcPr>
            <w:tcW w:w="0" w:type="auto"/>
            <w:vAlign w:val="center"/>
            <w:hideMark/>
          </w:tcPr>
          <w:p w:rsidR="00F267FA" w:rsidRPr="00F267FA" w:rsidRDefault="00F267FA" w:rsidP="00F267FA">
            <w:pPr>
              <w:widowControl/>
              <w:spacing w:line="540" w:lineRule="atLeast"/>
              <w:jc w:val="left"/>
              <w:rPr>
                <w:rFonts w:ascii="宋体" w:eastAsia="宋体" w:hAnsi="宋体" w:cs="宋体"/>
                <w:color w:val="000000"/>
                <w:kern w:val="0"/>
                <w:sz w:val="24"/>
                <w:szCs w:val="24"/>
              </w:rPr>
            </w:pPr>
            <w:r w:rsidRPr="00F267FA">
              <w:rPr>
                <w:rFonts w:ascii="宋体" w:eastAsia="宋体" w:hAnsi="宋体" w:cs="宋体" w:hint="eastAsia"/>
                <w:color w:val="000000"/>
                <w:kern w:val="0"/>
                <w:sz w:val="24"/>
                <w:szCs w:val="24"/>
              </w:rPr>
              <w:t>    据了解，由于拍卖行特殊的经营性质，对拍卖行取得的拍卖收入是征收增值税还是征收营业税，各地理解不一，执行中不尽一致。为了统一拍卖行的增值税、营业税政策，现就有关问题明确如下：</w:t>
            </w:r>
          </w:p>
          <w:p w:rsidR="00F267FA" w:rsidRPr="00F267FA" w:rsidRDefault="00F267FA" w:rsidP="00F267FA">
            <w:pPr>
              <w:widowControl/>
              <w:spacing w:line="540" w:lineRule="atLeast"/>
              <w:jc w:val="left"/>
              <w:rPr>
                <w:rFonts w:ascii="宋体" w:eastAsia="宋体" w:hAnsi="宋体" w:cs="宋体" w:hint="eastAsia"/>
                <w:color w:val="000000"/>
                <w:kern w:val="0"/>
                <w:sz w:val="24"/>
                <w:szCs w:val="24"/>
              </w:rPr>
            </w:pPr>
            <w:r w:rsidRPr="00F267FA">
              <w:rPr>
                <w:rFonts w:ascii="宋体" w:eastAsia="宋体" w:hAnsi="宋体" w:cs="宋体" w:hint="eastAsia"/>
                <w:color w:val="000000"/>
                <w:kern w:val="0"/>
                <w:sz w:val="24"/>
                <w:szCs w:val="24"/>
              </w:rPr>
              <w:t>    一、对拍卖行受托拍卖增值税应税货物，向买方收取的全部价款和价外费用，应当按照4%的征收率征收增值税。拍卖货物属免税货物范围的，经拍卖行所在地县级主管税务机关批准，可以免征增值税。</w:t>
            </w:r>
          </w:p>
          <w:p w:rsidR="00F267FA" w:rsidRPr="00F267FA" w:rsidRDefault="00F267FA" w:rsidP="00F267FA">
            <w:pPr>
              <w:widowControl/>
              <w:spacing w:line="540" w:lineRule="atLeast"/>
              <w:jc w:val="left"/>
              <w:rPr>
                <w:rFonts w:ascii="宋体" w:eastAsia="宋体" w:hAnsi="宋体" w:cs="宋体" w:hint="eastAsia"/>
                <w:color w:val="000000"/>
                <w:kern w:val="0"/>
                <w:sz w:val="24"/>
                <w:szCs w:val="24"/>
              </w:rPr>
            </w:pPr>
            <w:r w:rsidRPr="00F267FA">
              <w:rPr>
                <w:rFonts w:ascii="宋体" w:eastAsia="宋体" w:hAnsi="宋体" w:cs="宋体" w:hint="eastAsia"/>
                <w:color w:val="000000"/>
                <w:kern w:val="0"/>
                <w:sz w:val="24"/>
                <w:szCs w:val="24"/>
              </w:rPr>
              <w:t>    二、对拍卖行向委托方收取的手续费征收营业税。</w:t>
            </w:r>
          </w:p>
          <w:p w:rsidR="00F267FA" w:rsidRPr="00F267FA" w:rsidRDefault="00F267FA" w:rsidP="00F267FA">
            <w:pPr>
              <w:widowControl/>
              <w:spacing w:line="540" w:lineRule="atLeast"/>
              <w:jc w:val="left"/>
              <w:rPr>
                <w:rFonts w:ascii="宋体" w:eastAsia="宋体" w:hAnsi="宋体" w:cs="宋体" w:hint="eastAsia"/>
                <w:color w:val="000000"/>
                <w:kern w:val="0"/>
                <w:sz w:val="24"/>
                <w:szCs w:val="24"/>
              </w:rPr>
            </w:pPr>
            <w:r w:rsidRPr="00F267FA">
              <w:rPr>
                <w:rFonts w:ascii="宋体" w:eastAsia="宋体" w:hAnsi="宋体" w:cs="宋体" w:hint="eastAsia"/>
                <w:color w:val="000000"/>
                <w:kern w:val="0"/>
                <w:sz w:val="24"/>
                <w:szCs w:val="24"/>
              </w:rPr>
              <w:t> </w:t>
            </w:r>
          </w:p>
          <w:p w:rsidR="00F267FA" w:rsidRPr="00F267FA" w:rsidRDefault="00F267FA" w:rsidP="00F267FA">
            <w:pPr>
              <w:widowControl/>
              <w:spacing w:line="540" w:lineRule="atLeast"/>
              <w:jc w:val="left"/>
              <w:rPr>
                <w:rFonts w:ascii="宋体" w:eastAsia="宋体" w:hAnsi="宋体" w:cs="宋体"/>
                <w:color w:val="000000"/>
                <w:kern w:val="0"/>
                <w:sz w:val="24"/>
                <w:szCs w:val="24"/>
              </w:rPr>
            </w:pPr>
            <w:r w:rsidRPr="00F267FA">
              <w:rPr>
                <w:rFonts w:ascii="宋体" w:eastAsia="宋体" w:hAnsi="宋体" w:cs="宋体" w:hint="eastAsia"/>
                <w:color w:val="000000"/>
                <w:kern w:val="0"/>
                <w:sz w:val="24"/>
                <w:szCs w:val="24"/>
              </w:rPr>
              <w:t>注释：条款失效，第一条中“经拍卖行所在地县级主管税务机关批准”内容废止。参见：《国家税务总局关于明确部分增值税优惠政策审批事项取消后有关管理事项的公告》国家税务总局公告2015年第38号。</w:t>
            </w:r>
            <w:r w:rsidRPr="00F267FA">
              <w:rPr>
                <w:rFonts w:ascii="宋体" w:eastAsia="宋体" w:hAnsi="宋体" w:cs="宋体" w:hint="eastAsia"/>
                <w:color w:val="000000"/>
                <w:kern w:val="0"/>
                <w:sz w:val="24"/>
                <w:szCs w:val="24"/>
              </w:rPr>
              <w:br/>
              <w:t> </w:t>
            </w:r>
          </w:p>
        </w:tc>
      </w:tr>
    </w:tbl>
    <w:p w:rsidR="009F6944" w:rsidRPr="00F267FA" w:rsidRDefault="009F6944"/>
    <w:sectPr w:rsidR="009F6944" w:rsidRPr="00F267FA" w:rsidSect="009F69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267FA"/>
    <w:rsid w:val="009F6944"/>
    <w:rsid w:val="00F267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9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267FA"/>
    <w:rPr>
      <w:color w:val="0000FF"/>
      <w:u w:val="single"/>
    </w:rPr>
  </w:style>
</w:styles>
</file>

<file path=word/webSettings.xml><?xml version="1.0" encoding="utf-8"?>
<w:webSettings xmlns:r="http://schemas.openxmlformats.org/officeDocument/2006/relationships" xmlns:w="http://schemas.openxmlformats.org/wordprocessingml/2006/main">
  <w:divs>
    <w:div w:id="540020376">
      <w:bodyDiv w:val="1"/>
      <w:marLeft w:val="0"/>
      <w:marRight w:val="0"/>
      <w:marTop w:val="0"/>
      <w:marBottom w:val="0"/>
      <w:divBdr>
        <w:top w:val="none" w:sz="0" w:space="0" w:color="auto"/>
        <w:left w:val="none" w:sz="0" w:space="0" w:color="auto"/>
        <w:bottom w:val="none" w:sz="0" w:space="0" w:color="auto"/>
        <w:right w:val="none" w:sz="0" w:space="0" w:color="auto"/>
      </w:divBdr>
      <w:divsChild>
        <w:div w:id="1338387447">
          <w:marLeft w:val="0"/>
          <w:marRight w:val="0"/>
          <w:marTop w:val="0"/>
          <w:marBottom w:val="0"/>
          <w:divBdr>
            <w:top w:val="none" w:sz="0" w:space="0" w:color="auto"/>
            <w:left w:val="none" w:sz="0" w:space="0" w:color="auto"/>
            <w:bottom w:val="none" w:sz="0" w:space="0" w:color="auto"/>
            <w:right w:val="none" w:sz="0" w:space="0" w:color="auto"/>
          </w:divBdr>
        </w:div>
        <w:div w:id="1118912271">
          <w:marLeft w:val="0"/>
          <w:marRight w:val="0"/>
          <w:marTop w:val="0"/>
          <w:marBottom w:val="0"/>
          <w:divBdr>
            <w:top w:val="none" w:sz="0" w:space="0" w:color="auto"/>
            <w:left w:val="none" w:sz="0" w:space="0" w:color="auto"/>
            <w:bottom w:val="none" w:sz="0" w:space="0" w:color="auto"/>
            <w:right w:val="none" w:sz="0" w:space="0" w:color="auto"/>
          </w:divBdr>
        </w:div>
        <w:div w:id="986931258">
          <w:marLeft w:val="0"/>
          <w:marRight w:val="0"/>
          <w:marTop w:val="0"/>
          <w:marBottom w:val="0"/>
          <w:divBdr>
            <w:top w:val="none" w:sz="0" w:space="0" w:color="auto"/>
            <w:left w:val="none" w:sz="0" w:space="0" w:color="auto"/>
            <w:bottom w:val="none" w:sz="0" w:space="0" w:color="auto"/>
            <w:right w:val="none" w:sz="0" w:space="0" w:color="auto"/>
          </w:divBdr>
        </w:div>
        <w:div w:id="898707698">
          <w:marLeft w:val="0"/>
          <w:marRight w:val="0"/>
          <w:marTop w:val="0"/>
          <w:marBottom w:val="0"/>
          <w:divBdr>
            <w:top w:val="none" w:sz="0" w:space="0" w:color="auto"/>
            <w:left w:val="none" w:sz="0" w:space="0" w:color="auto"/>
            <w:bottom w:val="none" w:sz="0" w:space="0" w:color="auto"/>
            <w:right w:val="none" w:sz="0" w:space="0" w:color="auto"/>
          </w:divBdr>
        </w:div>
        <w:div w:id="1309674620">
          <w:marLeft w:val="0"/>
          <w:marRight w:val="0"/>
          <w:marTop w:val="0"/>
          <w:marBottom w:val="0"/>
          <w:divBdr>
            <w:top w:val="none" w:sz="0" w:space="0" w:color="auto"/>
            <w:left w:val="none" w:sz="0" w:space="0" w:color="auto"/>
            <w:bottom w:val="none" w:sz="0" w:space="0" w:color="auto"/>
            <w:right w:val="none" w:sz="0" w:space="0" w:color="auto"/>
          </w:divBdr>
        </w:div>
        <w:div w:id="2128548568">
          <w:marLeft w:val="0"/>
          <w:marRight w:val="0"/>
          <w:marTop w:val="0"/>
          <w:marBottom w:val="0"/>
          <w:divBdr>
            <w:top w:val="none" w:sz="0" w:space="0" w:color="auto"/>
            <w:left w:val="none" w:sz="0" w:space="0" w:color="auto"/>
            <w:bottom w:val="none" w:sz="0" w:space="0" w:color="auto"/>
            <w:right w:val="none" w:sz="0" w:space="0" w:color="auto"/>
          </w:divBdr>
        </w:div>
        <w:div w:id="1658532761">
          <w:marLeft w:val="0"/>
          <w:marRight w:val="0"/>
          <w:marTop w:val="0"/>
          <w:marBottom w:val="0"/>
          <w:divBdr>
            <w:top w:val="none" w:sz="0" w:space="0" w:color="auto"/>
            <w:left w:val="none" w:sz="0" w:space="0" w:color="auto"/>
            <w:bottom w:val="none" w:sz="0" w:space="0" w:color="auto"/>
            <w:right w:val="none" w:sz="0" w:space="0" w:color="auto"/>
          </w:divBdr>
        </w:div>
        <w:div w:id="494994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56</Words>
  <Characters>324</Characters>
  <Application>Microsoft Office Word</Application>
  <DocSecurity>0</DocSecurity>
  <Lines>2</Lines>
  <Paragraphs>1</Paragraphs>
  <ScaleCrop>false</ScaleCrop>
  <Company>Sky123.Org</Company>
  <LinksUpToDate>false</LinksUpToDate>
  <CharactersWithSpaces>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2016-08-02T07:49:00Z</dcterms:created>
  <dcterms:modified xsi:type="dcterms:W3CDTF">2016-08-02T07:51:00Z</dcterms:modified>
</cp:coreProperties>
</file>