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226" w:beforeAutospacing="0" w:after="376" w:afterAutospacing="0" w:line="480" w:lineRule="exact"/>
        <w:jc w:val="center"/>
        <w:rPr>
          <w:rStyle w:val="4"/>
          <w:rFonts w:ascii="仿宋_GB2312" w:hAnsi="仿宋" w:eastAsia="仿宋_GB2312"/>
          <w:color w:val="333333"/>
          <w:sz w:val="36"/>
          <w:szCs w:val="36"/>
        </w:rPr>
      </w:pPr>
      <w:bookmarkStart w:id="0" w:name="_GoBack"/>
      <w:r>
        <w:rPr>
          <w:rStyle w:val="4"/>
          <w:rFonts w:ascii="仿宋_GB2312" w:hAnsi="仿宋" w:eastAsia="仿宋_GB2312" w:cs="仿宋_GB2312"/>
          <w:color w:val="333333"/>
          <w:sz w:val="36"/>
          <w:szCs w:val="36"/>
        </w:rPr>
        <w:t>6</w:t>
      </w:r>
      <w:r>
        <w:rPr>
          <w:rStyle w:val="4"/>
          <w:rFonts w:hint="eastAsia" w:ascii="仿宋_GB2312" w:hAnsi="仿宋" w:eastAsia="仿宋_GB2312" w:cs="仿宋_GB2312"/>
          <w:color w:val="333333"/>
          <w:sz w:val="36"/>
          <w:szCs w:val="36"/>
        </w:rPr>
        <w:t>、国家发展改革委办公厅关于《印发城市地下综合管廊建设专项债券发行指引》的通知</w:t>
      </w:r>
      <w:bookmarkEnd w:id="0"/>
      <w:r>
        <w:rPr>
          <w:rStyle w:val="4"/>
          <w:rFonts w:ascii="仿宋_GB2312" w:hAnsi="仿宋" w:eastAsia="仿宋_GB2312" w:cs="仿宋_GB2312"/>
          <w:color w:val="333333"/>
          <w:sz w:val="36"/>
          <w:szCs w:val="36"/>
        </w:rPr>
        <w:t xml:space="preserve"> </w:t>
      </w:r>
    </w:p>
    <w:p>
      <w:pPr>
        <w:pStyle w:val="2"/>
        <w:spacing w:before="226" w:beforeAutospacing="0" w:after="376" w:afterAutospacing="0" w:line="480" w:lineRule="exact"/>
        <w:jc w:val="center"/>
        <w:rPr>
          <w:rStyle w:val="4"/>
          <w:rFonts w:ascii="仿宋_GB2312" w:hAnsi="仿宋" w:eastAsia="仿宋_GB2312"/>
          <w:color w:val="333333"/>
          <w:sz w:val="36"/>
          <w:szCs w:val="36"/>
        </w:rPr>
      </w:pPr>
      <w:r>
        <w:rPr>
          <w:rStyle w:val="4"/>
          <w:rFonts w:ascii="仿宋_GB2312" w:hAnsi="仿宋" w:eastAsia="仿宋_GB2312" w:cs="仿宋_GB2312"/>
          <w:color w:val="333333"/>
          <w:sz w:val="36"/>
          <w:szCs w:val="36"/>
        </w:rPr>
        <w:t xml:space="preserve"> </w:t>
      </w:r>
      <w:r>
        <w:rPr>
          <w:rStyle w:val="4"/>
          <w:rFonts w:hint="eastAsia" w:ascii="仿宋_GB2312" w:hAnsi="仿宋" w:eastAsia="仿宋_GB2312" w:cs="仿宋_GB2312"/>
          <w:color w:val="333333"/>
          <w:sz w:val="36"/>
          <w:szCs w:val="36"/>
        </w:rPr>
        <w:t>全文</w:t>
      </w:r>
    </w:p>
    <w:p>
      <w:pPr>
        <w:pStyle w:val="2"/>
        <w:spacing w:before="226" w:beforeAutospacing="0" w:after="376" w:afterAutospacing="0" w:line="520" w:lineRule="exact"/>
        <w:ind w:right="450"/>
        <w:jc w:val="center"/>
        <w:rPr>
          <w:rFonts w:ascii="仿宋_GB2312" w:hAnsi="仿宋" w:eastAsia="仿宋_GB2312" w:cs="Times New Roman"/>
          <w:sz w:val="32"/>
          <w:szCs w:val="32"/>
        </w:rPr>
      </w:pPr>
      <w:r>
        <w:rPr>
          <w:rFonts w:hint="eastAsia" w:ascii="仿宋_GB2312" w:hAnsi="仿宋" w:eastAsia="仿宋_GB2312" w:cs="仿宋_GB2312"/>
          <w:sz w:val="32"/>
          <w:szCs w:val="32"/>
        </w:rPr>
        <w:t>发改办财金</w:t>
      </w:r>
      <w:r>
        <w:rPr>
          <w:rFonts w:ascii="仿宋_GB2312" w:hAnsi="仿宋" w:eastAsia="仿宋_GB2312" w:cs="仿宋_GB2312"/>
          <w:sz w:val="32"/>
          <w:szCs w:val="32"/>
        </w:rPr>
        <w:t>[2015]755</w:t>
      </w:r>
      <w:r>
        <w:rPr>
          <w:rFonts w:hint="eastAsia" w:ascii="仿宋_GB2312" w:hAnsi="仿宋" w:eastAsia="仿宋_GB2312" w:cs="仿宋_GB2312"/>
          <w:sz w:val="32"/>
          <w:szCs w:val="32"/>
        </w:rPr>
        <w:t>号</w:t>
      </w:r>
    </w:p>
    <w:p>
      <w:pPr>
        <w:pStyle w:val="2"/>
        <w:spacing w:before="226" w:beforeAutospacing="0" w:after="376" w:afterAutospacing="0" w:line="520" w:lineRule="exact"/>
        <w:ind w:right="450"/>
        <w:jc w:val="both"/>
        <w:rPr>
          <w:rFonts w:ascii="仿宋_GB2312" w:hAnsi="仿宋" w:eastAsia="仿宋_GB2312" w:cs="Times New Roman"/>
          <w:sz w:val="32"/>
          <w:szCs w:val="32"/>
        </w:rPr>
      </w:pPr>
      <w:r>
        <w:rPr>
          <w:rFonts w:hint="eastAsia" w:ascii="仿宋_GB2312" w:hAnsi="仿宋" w:eastAsia="仿宋_GB2312" w:cs="仿宋_GB2312"/>
          <w:sz w:val="32"/>
          <w:szCs w:val="32"/>
        </w:rPr>
        <w:t>各省、自治区、直辖市及计划单列市、新疆生产建设兵团发展改革委：</w:t>
      </w:r>
    </w:p>
    <w:p>
      <w:pPr>
        <w:pStyle w:val="2"/>
        <w:spacing w:before="226" w:beforeAutospacing="0" w:after="376" w:afterAutospacing="0" w:line="520" w:lineRule="exact"/>
        <w:ind w:right="450"/>
        <w:jc w:val="both"/>
        <w:rPr>
          <w:rFonts w:ascii="仿宋_GB2312" w:hAnsi="仿宋" w:eastAsia="仿宋_GB2312" w:cs="Times New Roman"/>
          <w:sz w:val="32"/>
          <w:szCs w:val="32"/>
        </w:rPr>
      </w:pPr>
      <w:r>
        <w:rPr>
          <w:rFonts w:hint="eastAsia" w:ascii="仿宋_GB2312" w:hAnsi="仿宋" w:eastAsia="仿宋_GB2312" w:cs="仿宋_GB2312"/>
          <w:sz w:val="32"/>
          <w:szCs w:val="32"/>
        </w:rPr>
        <w:t>　　为加大债券融资方式对信息电网油气等重大网络工程、健康与养老服务、生态环保、清洁能源、粮食和水利、交通、油气及矿产资源保障工程等七大类重大投资工程包，以及信息消费、绿色消费、住房消费、旅游休闲消费、教育文体消费和养老健康消费等六大领域消费工程的支持力度，拉动重点领域投资和消费需求增长，现将我委制定的《城市地下综合管廊建设专项债券发行指引》印发你们，请在企业债券预审工作中认真贯彻执行。</w:t>
      </w:r>
    </w:p>
    <w:p>
      <w:pPr>
        <w:pStyle w:val="2"/>
        <w:spacing w:before="226" w:beforeAutospacing="0" w:after="376" w:afterAutospacing="0" w:line="520" w:lineRule="exact"/>
        <w:ind w:right="450"/>
        <w:jc w:val="both"/>
        <w:rPr>
          <w:rFonts w:ascii="仿宋_GB2312" w:hAnsi="仿宋" w:eastAsia="仿宋_GB2312" w:cs="Times New Roman"/>
          <w:sz w:val="32"/>
          <w:szCs w:val="32"/>
        </w:rPr>
      </w:pPr>
      <w:r>
        <w:rPr>
          <w:rFonts w:hint="eastAsia" w:ascii="仿宋_GB2312" w:hAnsi="仿宋" w:eastAsia="仿宋_GB2312" w:cs="仿宋_GB2312"/>
          <w:color w:val="333333"/>
          <w:sz w:val="32"/>
          <w:szCs w:val="32"/>
        </w:rPr>
        <w:t>　　附件：</w:t>
      </w:r>
      <w:r>
        <w:fldChar w:fldCharType="begin"/>
      </w:r>
      <w:r>
        <w:instrText xml:space="preserve">HYPERLINK "http://cjs.ndrc.gov.cn/zcfg/201504/./W020150409330675887108.pdf" \t "http://cjs.ndrc.gov.cn/zcfg/201504/_blank"</w:instrText>
      </w:r>
      <w:r>
        <w:fldChar w:fldCharType="separate"/>
      </w:r>
      <w:r>
        <w:rPr>
          <w:rStyle w:val="5"/>
          <w:rFonts w:hint="eastAsia" w:ascii="仿宋_GB2312" w:hAnsi="仿宋" w:eastAsia="仿宋_GB2312" w:cs="仿宋_GB2312"/>
          <w:color w:val="0000FF"/>
          <w:sz w:val="32"/>
          <w:szCs w:val="32"/>
        </w:rPr>
        <w:t>《城市地下综合管廊建设专项债券发行指引》</w:t>
      </w:r>
      <w:r>
        <w:fldChar w:fldCharType="end"/>
      </w:r>
    </w:p>
    <w:p>
      <w:pPr>
        <w:pStyle w:val="2"/>
        <w:spacing w:before="226" w:beforeAutospacing="0" w:after="376" w:afterAutospacing="0" w:line="520" w:lineRule="exact"/>
        <w:ind w:right="450"/>
        <w:jc w:val="center"/>
        <w:rPr>
          <w:rFonts w:ascii="仿宋_GB2312" w:hAnsi="仿宋" w:eastAsia="仿宋_GB2312" w:cs="Times New Roman"/>
          <w:color w:val="333333"/>
          <w:sz w:val="32"/>
          <w:szCs w:val="32"/>
        </w:rPr>
      </w:pPr>
    </w:p>
    <w:p>
      <w:pPr>
        <w:pStyle w:val="2"/>
        <w:spacing w:before="226" w:beforeAutospacing="0" w:after="376" w:afterAutospacing="0" w:line="520" w:lineRule="exact"/>
        <w:ind w:right="450"/>
        <w:jc w:val="center"/>
        <w:rPr>
          <w:rFonts w:ascii="仿宋_GB2312" w:hAnsi="仿宋" w:eastAsia="仿宋_GB2312" w:cs="Times New Roman"/>
          <w:sz w:val="32"/>
          <w:szCs w:val="32"/>
        </w:rPr>
      </w:pP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国家发展改革委办公厅</w:t>
      </w:r>
    </w:p>
    <w:p>
      <w:pPr>
        <w:pStyle w:val="2"/>
        <w:spacing w:before="226" w:beforeAutospacing="0" w:after="376" w:afterAutospacing="0" w:line="520" w:lineRule="exact"/>
        <w:ind w:right="450"/>
        <w:jc w:val="center"/>
        <w:rPr>
          <w:rFonts w:ascii="仿宋_GB2312" w:hAnsi="仿宋" w:eastAsia="仿宋_GB2312" w:cs="Times New Roman"/>
          <w:sz w:val="32"/>
          <w:szCs w:val="32"/>
        </w:rPr>
      </w:pPr>
      <w:r>
        <w:rPr>
          <w:rFonts w:ascii="仿宋_GB2312" w:hAnsi="仿宋" w:eastAsia="仿宋_GB2312" w:cs="仿宋_GB2312"/>
          <w:sz w:val="32"/>
          <w:szCs w:val="32"/>
        </w:rPr>
        <w:t xml:space="preserve">                   2015</w:t>
      </w:r>
      <w:r>
        <w:rPr>
          <w:rFonts w:hint="eastAsia" w:ascii="仿宋_GB2312" w:hAnsi="仿宋" w:eastAsia="仿宋_GB2312" w:cs="仿宋_GB2312"/>
          <w:sz w:val="32"/>
          <w:szCs w:val="32"/>
        </w:rPr>
        <w:t>年</w:t>
      </w:r>
      <w:r>
        <w:rPr>
          <w:rFonts w:ascii="仿宋_GB2312" w:hAnsi="仿宋" w:eastAsia="仿宋_GB2312" w:cs="仿宋_GB2312"/>
          <w:sz w:val="32"/>
          <w:szCs w:val="32"/>
        </w:rPr>
        <w:t>3</w:t>
      </w:r>
      <w:r>
        <w:rPr>
          <w:rFonts w:hint="eastAsia" w:ascii="仿宋_GB2312" w:hAnsi="仿宋" w:eastAsia="仿宋_GB2312" w:cs="仿宋_GB2312"/>
          <w:sz w:val="32"/>
          <w:szCs w:val="32"/>
        </w:rPr>
        <w:t>月</w:t>
      </w:r>
      <w:r>
        <w:rPr>
          <w:rFonts w:ascii="仿宋_GB2312" w:hAnsi="仿宋" w:eastAsia="仿宋_GB2312" w:cs="仿宋_GB2312"/>
          <w:sz w:val="32"/>
          <w:szCs w:val="32"/>
        </w:rPr>
        <w:t>31</w:t>
      </w:r>
      <w:r>
        <w:rPr>
          <w:rFonts w:hint="eastAsia" w:ascii="仿宋_GB2312" w:hAnsi="仿宋" w:eastAsia="仿宋_GB2312" w:cs="仿宋_GB2312"/>
          <w:sz w:val="32"/>
          <w:szCs w:val="32"/>
        </w:rPr>
        <w:t>日</w:t>
      </w:r>
    </w:p>
    <w:p>
      <w:pPr>
        <w:widowControl/>
        <w:spacing w:before="300" w:line="525" w:lineRule="atLeast"/>
        <w:jc w:val="left"/>
        <w:rPr>
          <w:rFonts w:ascii="仿宋_GB2312" w:hAnsi="Arial" w:eastAsia="仿宋_GB2312" w:cs="仿宋_GB2312"/>
          <w:spacing w:val="15"/>
          <w:kern w:val="0"/>
          <w:sz w:val="32"/>
          <w:szCs w:val="32"/>
        </w:rPr>
      </w:pPr>
      <w:r>
        <w:rPr>
          <w:rFonts w:hint="eastAsia" w:ascii="仿宋_GB2312" w:hAnsi="Arial" w:eastAsia="仿宋_GB2312" w:cs="仿宋_GB2312"/>
          <w:spacing w:val="15"/>
          <w:kern w:val="0"/>
          <w:sz w:val="32"/>
          <w:szCs w:val="32"/>
        </w:rPr>
        <w:t>附件</w:t>
      </w:r>
      <w:r>
        <w:rPr>
          <w:rFonts w:ascii="仿宋_GB2312" w:hAnsi="Arial" w:eastAsia="仿宋_GB2312" w:cs="仿宋_GB2312"/>
          <w:spacing w:val="15"/>
          <w:kern w:val="0"/>
          <w:sz w:val="32"/>
          <w:szCs w:val="32"/>
        </w:rPr>
        <w:t>:</w:t>
      </w:r>
    </w:p>
    <w:p>
      <w:pPr>
        <w:widowControl/>
        <w:spacing w:before="300" w:line="525" w:lineRule="atLeast"/>
        <w:jc w:val="center"/>
        <w:rPr>
          <w:rFonts w:ascii="仿宋_GB2312" w:hAnsi="Arial" w:eastAsia="仿宋_GB2312" w:cs="Times New Roman"/>
          <w:spacing w:val="15"/>
          <w:kern w:val="0"/>
          <w:sz w:val="32"/>
          <w:szCs w:val="32"/>
        </w:rPr>
      </w:pPr>
      <w:r>
        <w:rPr>
          <w:rFonts w:hint="eastAsia" w:ascii="仿宋_GB2312" w:hAnsi="Arial" w:eastAsia="仿宋_GB2312" w:cs="仿宋_GB2312"/>
          <w:spacing w:val="15"/>
          <w:kern w:val="0"/>
          <w:sz w:val="32"/>
          <w:szCs w:val="32"/>
        </w:rPr>
        <w:t>城市地下综合管廊建设专项债券发行指引</w:t>
      </w:r>
    </w:p>
    <w:p>
      <w:pPr>
        <w:widowControl/>
        <w:spacing w:line="525" w:lineRule="atLeast"/>
        <w:jc w:val="left"/>
        <w:rPr>
          <w:rFonts w:ascii="仿宋_GB2312" w:hAnsi="Arial" w:eastAsia="仿宋_GB2312" w:cs="Times New Roman"/>
          <w:spacing w:val="15"/>
          <w:kern w:val="0"/>
          <w:sz w:val="32"/>
          <w:szCs w:val="32"/>
        </w:rPr>
      </w:pPr>
      <w:r>
        <w:rPr>
          <w:rFonts w:ascii="Arial" w:hAnsi="Arial" w:eastAsia="仿宋_GB2312" w:cs="Times New Roman"/>
          <w:spacing w:val="15"/>
          <w:kern w:val="0"/>
          <w:sz w:val="32"/>
          <w:szCs w:val="32"/>
        </w:rPr>
        <w:t> </w:t>
      </w:r>
    </w:p>
    <w:p>
      <w:pPr>
        <w:widowControl/>
        <w:spacing w:line="525" w:lineRule="atLeast"/>
        <w:jc w:val="left"/>
        <w:rPr>
          <w:rFonts w:ascii="仿宋_GB2312" w:hAnsi="Arial" w:eastAsia="仿宋_GB2312" w:cs="Times New Roman"/>
          <w:spacing w:val="15"/>
          <w:kern w:val="0"/>
          <w:sz w:val="32"/>
          <w:szCs w:val="32"/>
        </w:rPr>
      </w:pPr>
      <w:r>
        <w:rPr>
          <w:rFonts w:ascii="Arial" w:hAnsi="Arial" w:eastAsia="仿宋_GB2312" w:cs="Times New Roman"/>
          <w:spacing w:val="15"/>
          <w:kern w:val="0"/>
          <w:sz w:val="32"/>
          <w:szCs w:val="32"/>
        </w:rPr>
        <w:t>    </w:t>
      </w:r>
      <w:r>
        <w:rPr>
          <w:rFonts w:hint="eastAsia" w:ascii="仿宋_GB2312" w:hAnsi="Arial" w:eastAsia="仿宋_GB2312" w:cs="仿宋_GB2312"/>
          <w:spacing w:val="15"/>
          <w:kern w:val="0"/>
          <w:sz w:val="32"/>
          <w:szCs w:val="32"/>
        </w:rPr>
        <w:t>城市地下综合管廊是实施统一规划、设计、施工和维护，建于城市地下用于敷设市政公用管线，满足管线单位的使用和运行维护要求，同步配套消防、供电、照明、监控与报警、通风、排水、标识的市政公用设施，是保障城市运行的重要基础设施。为加快推进以人为本的新型城镇化，推进城市地下综合管廊建设，保障城市安全运行，进一步扩大基础设施投资，发挥稳增长的积极作用，加大债券融资支持城市地下综合管廊建设的力度，制定本指引。</w:t>
      </w:r>
    </w:p>
    <w:p>
      <w:pPr>
        <w:widowControl/>
        <w:spacing w:before="300" w:line="525" w:lineRule="atLeast"/>
        <w:jc w:val="left"/>
        <w:rPr>
          <w:rFonts w:ascii="仿宋_GB2312" w:hAnsi="Arial" w:eastAsia="仿宋_GB2312" w:cs="Times New Roman"/>
          <w:spacing w:val="15"/>
          <w:kern w:val="0"/>
          <w:sz w:val="32"/>
          <w:szCs w:val="32"/>
        </w:rPr>
      </w:pPr>
      <w:r>
        <w:rPr>
          <w:rFonts w:ascii="Arial" w:hAnsi="Arial" w:eastAsia="仿宋_GB2312" w:cs="Times New Roman"/>
          <w:spacing w:val="15"/>
          <w:kern w:val="0"/>
          <w:sz w:val="32"/>
          <w:szCs w:val="32"/>
        </w:rPr>
        <w:t>      </w:t>
      </w:r>
      <w:r>
        <w:rPr>
          <w:rFonts w:ascii="仿宋_GB2312" w:hAnsi="Arial" w:eastAsia="仿宋_GB2312" w:cs="仿宋_GB2312"/>
          <w:spacing w:val="15"/>
          <w:kern w:val="0"/>
          <w:sz w:val="32"/>
          <w:szCs w:val="32"/>
        </w:rPr>
        <w:t xml:space="preserve"> </w:t>
      </w:r>
      <w:r>
        <w:rPr>
          <w:rFonts w:hint="eastAsia" w:ascii="仿宋_GB2312" w:hAnsi="Arial" w:eastAsia="仿宋_GB2312" w:cs="仿宋_GB2312"/>
          <w:spacing w:val="15"/>
          <w:kern w:val="0"/>
          <w:sz w:val="32"/>
          <w:szCs w:val="32"/>
        </w:rPr>
        <w:t>一、鼓励各类企业发行企业债券、项目收益债券、可续期债券等专项债券，募集资金用于城市地下综合管廊建设，在相关手续齐备、偿债措施完善的基础上，比照我委“加快和简化审核类”债券审核程序，提高审核效率。</w:t>
      </w:r>
    </w:p>
    <w:p>
      <w:pPr>
        <w:widowControl/>
        <w:spacing w:before="300" w:line="525" w:lineRule="atLeast"/>
        <w:jc w:val="left"/>
        <w:rPr>
          <w:rFonts w:ascii="仿宋_GB2312" w:hAnsi="Arial" w:eastAsia="仿宋_GB2312" w:cs="Times New Roman"/>
          <w:spacing w:val="15"/>
          <w:kern w:val="0"/>
          <w:sz w:val="32"/>
          <w:szCs w:val="32"/>
        </w:rPr>
      </w:pPr>
      <w:r>
        <w:rPr>
          <w:rFonts w:ascii="Arial" w:hAnsi="Arial" w:eastAsia="仿宋_GB2312" w:cs="Times New Roman"/>
          <w:spacing w:val="15"/>
          <w:kern w:val="0"/>
          <w:sz w:val="32"/>
          <w:szCs w:val="32"/>
        </w:rPr>
        <w:t>      </w:t>
      </w:r>
      <w:r>
        <w:rPr>
          <w:rFonts w:ascii="仿宋_GB2312" w:hAnsi="Arial" w:eastAsia="仿宋_GB2312" w:cs="仿宋_GB2312"/>
          <w:spacing w:val="15"/>
          <w:kern w:val="0"/>
          <w:sz w:val="32"/>
          <w:szCs w:val="32"/>
        </w:rPr>
        <w:t xml:space="preserve"> </w:t>
      </w:r>
      <w:r>
        <w:rPr>
          <w:rFonts w:hint="eastAsia" w:ascii="仿宋_GB2312" w:hAnsi="Arial" w:eastAsia="仿宋_GB2312" w:cs="仿宋_GB2312"/>
          <w:spacing w:val="15"/>
          <w:kern w:val="0"/>
          <w:sz w:val="32"/>
          <w:szCs w:val="32"/>
        </w:rPr>
        <w:t>二、在偿债保障措施较为完善的基础上，企业申请发行城市地下综合管廊建设专项债券，可适当放宽企业债券现行审核政策及《关于全面加强企业债券风险防范的若干意见》中规定的部分准入条件。</w:t>
      </w:r>
    </w:p>
    <w:p>
      <w:pPr>
        <w:widowControl/>
        <w:spacing w:before="300" w:line="525" w:lineRule="atLeast"/>
        <w:jc w:val="left"/>
        <w:rPr>
          <w:rFonts w:ascii="仿宋_GB2312" w:hAnsi="Arial" w:eastAsia="仿宋_GB2312" w:cs="Times New Roman"/>
          <w:spacing w:val="15"/>
          <w:kern w:val="0"/>
          <w:sz w:val="32"/>
          <w:szCs w:val="32"/>
        </w:rPr>
      </w:pPr>
      <w:r>
        <w:rPr>
          <w:rFonts w:ascii="Arial" w:hAnsi="Arial" w:eastAsia="仿宋_GB2312" w:cs="Times New Roman"/>
          <w:spacing w:val="15"/>
          <w:kern w:val="0"/>
          <w:sz w:val="32"/>
          <w:szCs w:val="32"/>
        </w:rPr>
        <w:t>     </w:t>
      </w:r>
      <w:r>
        <w:rPr>
          <w:rFonts w:ascii="仿宋_GB2312" w:hAnsi="Arial" w:eastAsia="仿宋_GB2312" w:cs="仿宋_GB2312"/>
          <w:spacing w:val="15"/>
          <w:kern w:val="0"/>
          <w:sz w:val="32"/>
          <w:szCs w:val="32"/>
        </w:rPr>
        <w:t xml:space="preserve"> </w:t>
      </w:r>
      <w:r>
        <w:rPr>
          <w:rFonts w:hint="eastAsia" w:ascii="仿宋_GB2312" w:hAnsi="Arial" w:eastAsia="仿宋_GB2312" w:cs="仿宋_GB2312"/>
          <w:spacing w:val="15"/>
          <w:kern w:val="0"/>
          <w:sz w:val="32"/>
          <w:szCs w:val="32"/>
        </w:rPr>
        <w:t>（一）发行城市地下综合管廊建设专项债券的城投类企业不受发债指标限制。</w:t>
      </w:r>
    </w:p>
    <w:p>
      <w:pPr>
        <w:widowControl/>
        <w:spacing w:before="300" w:line="525" w:lineRule="atLeast"/>
        <w:jc w:val="left"/>
        <w:rPr>
          <w:rFonts w:ascii="仿宋_GB2312" w:hAnsi="Arial" w:eastAsia="仿宋_GB2312" w:cs="Times New Roman"/>
          <w:spacing w:val="15"/>
          <w:kern w:val="0"/>
          <w:sz w:val="32"/>
          <w:szCs w:val="32"/>
        </w:rPr>
      </w:pPr>
      <w:r>
        <w:rPr>
          <w:rFonts w:ascii="Arial" w:hAnsi="Arial" w:eastAsia="仿宋_GB2312" w:cs="Times New Roman"/>
          <w:spacing w:val="15"/>
          <w:kern w:val="0"/>
          <w:sz w:val="32"/>
          <w:szCs w:val="32"/>
        </w:rPr>
        <w:t>     </w:t>
      </w:r>
      <w:r>
        <w:rPr>
          <w:rFonts w:ascii="仿宋_GB2312" w:hAnsi="Arial" w:eastAsia="仿宋_GB2312" w:cs="仿宋_GB2312"/>
          <w:spacing w:val="15"/>
          <w:kern w:val="0"/>
          <w:sz w:val="32"/>
          <w:szCs w:val="32"/>
        </w:rPr>
        <w:t xml:space="preserve"> </w:t>
      </w:r>
      <w:r>
        <w:rPr>
          <w:rFonts w:hint="eastAsia" w:ascii="仿宋_GB2312" w:hAnsi="Arial" w:eastAsia="仿宋_GB2312" w:cs="仿宋_GB2312"/>
          <w:spacing w:val="15"/>
          <w:kern w:val="0"/>
          <w:sz w:val="32"/>
          <w:szCs w:val="32"/>
        </w:rPr>
        <w:t>（二）募集资金占城市地下综合管廊建设项目总投资比例由不超过</w:t>
      </w:r>
      <w:r>
        <w:rPr>
          <w:rFonts w:ascii="仿宋_GB2312" w:hAnsi="Arial" w:eastAsia="仿宋_GB2312" w:cs="仿宋_GB2312"/>
          <w:spacing w:val="15"/>
          <w:kern w:val="0"/>
          <w:sz w:val="32"/>
          <w:szCs w:val="32"/>
        </w:rPr>
        <w:t>60%</w:t>
      </w:r>
      <w:r>
        <w:rPr>
          <w:rFonts w:hint="eastAsia" w:ascii="仿宋_GB2312" w:hAnsi="Arial" w:eastAsia="仿宋_GB2312" w:cs="仿宋_GB2312"/>
          <w:spacing w:val="15"/>
          <w:kern w:val="0"/>
          <w:sz w:val="32"/>
          <w:szCs w:val="32"/>
        </w:rPr>
        <w:t>放宽至不超过</w:t>
      </w:r>
      <w:r>
        <w:rPr>
          <w:rFonts w:ascii="仿宋_GB2312" w:hAnsi="Arial" w:eastAsia="仿宋_GB2312" w:cs="仿宋_GB2312"/>
          <w:spacing w:val="15"/>
          <w:kern w:val="0"/>
          <w:sz w:val="32"/>
          <w:szCs w:val="32"/>
        </w:rPr>
        <w:t>70%</w:t>
      </w:r>
      <w:r>
        <w:rPr>
          <w:rFonts w:hint="eastAsia" w:ascii="仿宋_GB2312" w:hAnsi="Arial" w:eastAsia="仿宋_GB2312" w:cs="仿宋_GB2312"/>
          <w:spacing w:val="15"/>
          <w:kern w:val="0"/>
          <w:sz w:val="32"/>
          <w:szCs w:val="32"/>
        </w:rPr>
        <w:t>。</w:t>
      </w:r>
    </w:p>
    <w:p>
      <w:pPr>
        <w:widowControl/>
        <w:spacing w:before="300" w:line="525" w:lineRule="atLeast"/>
        <w:jc w:val="left"/>
        <w:rPr>
          <w:rFonts w:ascii="仿宋_GB2312" w:hAnsi="Arial" w:eastAsia="仿宋_GB2312" w:cs="Times New Roman"/>
          <w:spacing w:val="15"/>
          <w:kern w:val="0"/>
          <w:sz w:val="32"/>
          <w:szCs w:val="32"/>
        </w:rPr>
      </w:pPr>
      <w:r>
        <w:rPr>
          <w:rFonts w:ascii="Arial" w:hAnsi="Arial" w:eastAsia="仿宋_GB2312" w:cs="Times New Roman"/>
          <w:spacing w:val="15"/>
          <w:kern w:val="0"/>
          <w:sz w:val="32"/>
          <w:szCs w:val="32"/>
        </w:rPr>
        <w:t>     </w:t>
      </w:r>
      <w:r>
        <w:rPr>
          <w:rFonts w:ascii="仿宋_GB2312" w:hAnsi="Arial" w:eastAsia="仿宋_GB2312" w:cs="仿宋_GB2312"/>
          <w:spacing w:val="15"/>
          <w:kern w:val="0"/>
          <w:sz w:val="32"/>
          <w:szCs w:val="32"/>
        </w:rPr>
        <w:t xml:space="preserve"> </w:t>
      </w:r>
      <w:r>
        <w:rPr>
          <w:rFonts w:hint="eastAsia" w:ascii="仿宋_GB2312" w:hAnsi="Arial" w:eastAsia="仿宋_GB2312" w:cs="仿宋_GB2312"/>
          <w:spacing w:val="15"/>
          <w:kern w:val="0"/>
          <w:sz w:val="32"/>
          <w:szCs w:val="32"/>
        </w:rPr>
        <w:t>（三）将城投类企业和一般生产经营性企业需提供担保措施的资产负债率要求分别放宽至</w:t>
      </w:r>
      <w:r>
        <w:rPr>
          <w:rFonts w:ascii="仿宋_GB2312" w:hAnsi="Arial" w:eastAsia="仿宋_GB2312" w:cs="仿宋_GB2312"/>
          <w:spacing w:val="15"/>
          <w:kern w:val="0"/>
          <w:sz w:val="32"/>
          <w:szCs w:val="32"/>
        </w:rPr>
        <w:t>70%</w:t>
      </w:r>
      <w:r>
        <w:rPr>
          <w:rFonts w:hint="eastAsia" w:ascii="仿宋_GB2312" w:hAnsi="Arial" w:eastAsia="仿宋_GB2312" w:cs="仿宋_GB2312"/>
          <w:spacing w:val="15"/>
          <w:kern w:val="0"/>
          <w:sz w:val="32"/>
          <w:szCs w:val="32"/>
        </w:rPr>
        <w:t>和</w:t>
      </w:r>
      <w:r>
        <w:rPr>
          <w:rFonts w:ascii="仿宋_GB2312" w:hAnsi="Arial" w:eastAsia="仿宋_GB2312" w:cs="仿宋_GB2312"/>
          <w:spacing w:val="15"/>
          <w:kern w:val="0"/>
          <w:sz w:val="32"/>
          <w:szCs w:val="32"/>
        </w:rPr>
        <w:t>75%</w:t>
      </w:r>
      <w:r>
        <w:rPr>
          <w:rFonts w:hint="eastAsia" w:ascii="仿宋_GB2312" w:hAnsi="Arial" w:eastAsia="仿宋_GB2312" w:cs="仿宋_GB2312"/>
          <w:spacing w:val="15"/>
          <w:kern w:val="0"/>
          <w:sz w:val="32"/>
          <w:szCs w:val="32"/>
        </w:rPr>
        <w:t>；主体评级</w:t>
      </w:r>
      <w:r>
        <w:rPr>
          <w:rFonts w:ascii="仿宋_GB2312" w:hAnsi="Arial" w:eastAsia="仿宋_GB2312" w:cs="仿宋_GB2312"/>
          <w:spacing w:val="15"/>
          <w:kern w:val="0"/>
          <w:sz w:val="32"/>
          <w:szCs w:val="32"/>
        </w:rPr>
        <w:t>AAA</w:t>
      </w:r>
      <w:r>
        <w:rPr>
          <w:rFonts w:hint="eastAsia" w:ascii="仿宋_GB2312" w:hAnsi="Arial" w:eastAsia="仿宋_GB2312" w:cs="仿宋_GB2312"/>
          <w:spacing w:val="15"/>
          <w:kern w:val="0"/>
          <w:sz w:val="32"/>
          <w:szCs w:val="32"/>
        </w:rPr>
        <w:t>的，资产负债率要求进一步放宽至</w:t>
      </w:r>
      <w:r>
        <w:rPr>
          <w:rFonts w:ascii="仿宋_GB2312" w:hAnsi="Arial" w:eastAsia="仿宋_GB2312" w:cs="仿宋_GB2312"/>
          <w:spacing w:val="15"/>
          <w:kern w:val="0"/>
          <w:sz w:val="32"/>
          <w:szCs w:val="32"/>
        </w:rPr>
        <w:t>75%</w:t>
      </w:r>
      <w:r>
        <w:rPr>
          <w:rFonts w:hint="eastAsia" w:ascii="仿宋_GB2312" w:hAnsi="Arial" w:eastAsia="仿宋_GB2312" w:cs="仿宋_GB2312"/>
          <w:spacing w:val="15"/>
          <w:kern w:val="0"/>
          <w:sz w:val="32"/>
          <w:szCs w:val="32"/>
        </w:rPr>
        <w:t>和</w:t>
      </w:r>
      <w:r>
        <w:rPr>
          <w:rFonts w:ascii="仿宋_GB2312" w:hAnsi="Arial" w:eastAsia="仿宋_GB2312" w:cs="仿宋_GB2312"/>
          <w:spacing w:val="15"/>
          <w:kern w:val="0"/>
          <w:sz w:val="32"/>
          <w:szCs w:val="32"/>
        </w:rPr>
        <w:t>80%</w:t>
      </w:r>
      <w:r>
        <w:rPr>
          <w:rFonts w:hint="eastAsia" w:ascii="仿宋_GB2312" w:hAnsi="Arial" w:eastAsia="仿宋_GB2312" w:cs="仿宋_GB2312"/>
          <w:spacing w:val="15"/>
          <w:kern w:val="0"/>
          <w:sz w:val="32"/>
          <w:szCs w:val="32"/>
        </w:rPr>
        <w:t>。</w:t>
      </w:r>
    </w:p>
    <w:p>
      <w:pPr>
        <w:widowControl/>
        <w:spacing w:before="300" w:line="525" w:lineRule="atLeast"/>
        <w:jc w:val="left"/>
        <w:rPr>
          <w:rFonts w:ascii="仿宋_GB2312" w:hAnsi="Arial" w:eastAsia="仿宋_GB2312" w:cs="Times New Roman"/>
          <w:spacing w:val="15"/>
          <w:kern w:val="0"/>
          <w:sz w:val="32"/>
          <w:szCs w:val="32"/>
        </w:rPr>
      </w:pPr>
      <w:r>
        <w:rPr>
          <w:rFonts w:ascii="Arial" w:hAnsi="Arial" w:eastAsia="仿宋_GB2312" w:cs="Times New Roman"/>
          <w:spacing w:val="15"/>
          <w:kern w:val="0"/>
          <w:sz w:val="32"/>
          <w:szCs w:val="32"/>
        </w:rPr>
        <w:t>     </w:t>
      </w:r>
      <w:r>
        <w:rPr>
          <w:rFonts w:ascii="仿宋_GB2312" w:hAnsi="Arial" w:eastAsia="仿宋_GB2312" w:cs="仿宋_GB2312"/>
          <w:spacing w:val="15"/>
          <w:kern w:val="0"/>
          <w:sz w:val="32"/>
          <w:szCs w:val="32"/>
        </w:rPr>
        <w:t xml:space="preserve"> </w:t>
      </w:r>
      <w:r>
        <w:rPr>
          <w:rFonts w:hint="eastAsia" w:ascii="仿宋_GB2312" w:hAnsi="Arial" w:eastAsia="仿宋_GB2312" w:cs="仿宋_GB2312"/>
          <w:spacing w:val="15"/>
          <w:kern w:val="0"/>
          <w:sz w:val="32"/>
          <w:szCs w:val="32"/>
        </w:rPr>
        <w:t>（四）不受“地方政府所属城投企业已发行未偿付的企业债券、中期票据余额与地方政府当年</w:t>
      </w:r>
      <w:r>
        <w:rPr>
          <w:rFonts w:ascii="仿宋_GB2312" w:hAnsi="Arial" w:eastAsia="仿宋_GB2312" w:cs="仿宋_GB2312"/>
          <w:spacing w:val="15"/>
          <w:kern w:val="0"/>
          <w:sz w:val="32"/>
          <w:szCs w:val="32"/>
        </w:rPr>
        <w:t>GDP</w:t>
      </w:r>
      <w:r>
        <w:rPr>
          <w:rFonts w:hint="eastAsia" w:ascii="仿宋_GB2312" w:hAnsi="Arial" w:eastAsia="仿宋_GB2312" w:cs="仿宋_GB2312"/>
          <w:spacing w:val="15"/>
          <w:kern w:val="0"/>
          <w:sz w:val="32"/>
          <w:szCs w:val="32"/>
        </w:rPr>
        <w:t>的比值超过</w:t>
      </w:r>
      <w:r>
        <w:rPr>
          <w:rFonts w:ascii="仿宋_GB2312" w:hAnsi="Arial" w:eastAsia="仿宋_GB2312" w:cs="仿宋_GB2312"/>
          <w:spacing w:val="15"/>
          <w:kern w:val="0"/>
          <w:sz w:val="32"/>
          <w:szCs w:val="32"/>
        </w:rPr>
        <w:t>8%</w:t>
      </w:r>
      <w:r>
        <w:rPr>
          <w:rFonts w:hint="eastAsia" w:ascii="仿宋_GB2312" w:hAnsi="Arial" w:eastAsia="仿宋_GB2312" w:cs="仿宋_GB2312"/>
          <w:spacing w:val="15"/>
          <w:kern w:val="0"/>
          <w:sz w:val="32"/>
          <w:szCs w:val="32"/>
        </w:rPr>
        <w:t>的，其所属城投企业发债应严格控制”的限制。</w:t>
      </w:r>
    </w:p>
    <w:p>
      <w:pPr>
        <w:widowControl/>
        <w:spacing w:before="300" w:line="525" w:lineRule="atLeast"/>
        <w:jc w:val="left"/>
        <w:rPr>
          <w:rFonts w:ascii="仿宋_GB2312" w:hAnsi="Arial" w:eastAsia="仿宋_GB2312" w:cs="Times New Roman"/>
          <w:spacing w:val="15"/>
          <w:kern w:val="0"/>
          <w:sz w:val="32"/>
          <w:szCs w:val="32"/>
        </w:rPr>
      </w:pPr>
      <w:r>
        <w:rPr>
          <w:rFonts w:ascii="Arial" w:hAnsi="Arial" w:eastAsia="仿宋_GB2312" w:cs="Times New Roman"/>
          <w:spacing w:val="15"/>
          <w:kern w:val="0"/>
          <w:sz w:val="32"/>
          <w:szCs w:val="32"/>
        </w:rPr>
        <w:t>      </w:t>
      </w:r>
      <w:r>
        <w:rPr>
          <w:rFonts w:hint="eastAsia" w:ascii="仿宋_GB2312" w:hAnsi="Arial" w:eastAsia="仿宋_GB2312" w:cs="仿宋_GB2312"/>
          <w:spacing w:val="15"/>
          <w:kern w:val="0"/>
          <w:sz w:val="32"/>
          <w:szCs w:val="32"/>
        </w:rPr>
        <w:t>（五）城投类企业不受“单次发债规模，原则上不超过所属地方政府上年本级公共财政预算收入”的限制。</w:t>
      </w:r>
    </w:p>
    <w:p>
      <w:pPr>
        <w:widowControl/>
        <w:spacing w:before="300" w:line="525" w:lineRule="atLeast"/>
        <w:jc w:val="left"/>
        <w:rPr>
          <w:rFonts w:ascii="仿宋_GB2312" w:hAnsi="Arial" w:eastAsia="仿宋_GB2312" w:cs="Times New Roman"/>
          <w:spacing w:val="15"/>
          <w:kern w:val="0"/>
          <w:sz w:val="32"/>
          <w:szCs w:val="32"/>
        </w:rPr>
      </w:pPr>
      <w:r>
        <w:rPr>
          <w:rFonts w:ascii="Arial" w:hAnsi="Arial" w:eastAsia="仿宋_GB2312" w:cs="Times New Roman"/>
          <w:spacing w:val="15"/>
          <w:kern w:val="0"/>
          <w:sz w:val="32"/>
          <w:szCs w:val="32"/>
        </w:rPr>
        <w:t>     </w:t>
      </w:r>
      <w:r>
        <w:rPr>
          <w:rFonts w:ascii="仿宋_GB2312" w:hAnsi="Arial" w:eastAsia="仿宋_GB2312" w:cs="仿宋_GB2312"/>
          <w:spacing w:val="15"/>
          <w:kern w:val="0"/>
          <w:sz w:val="32"/>
          <w:szCs w:val="32"/>
        </w:rPr>
        <w:t xml:space="preserve"> </w:t>
      </w:r>
      <w:r>
        <w:rPr>
          <w:rFonts w:hint="eastAsia" w:ascii="仿宋_GB2312" w:hAnsi="Arial" w:eastAsia="仿宋_GB2312" w:cs="仿宋_GB2312"/>
          <w:spacing w:val="15"/>
          <w:kern w:val="0"/>
          <w:sz w:val="32"/>
          <w:szCs w:val="32"/>
        </w:rPr>
        <w:t>（六）对于与新区、开发区、新型城镇化建设规划相配套的综合管廊项目，若项目建设期限超过</w:t>
      </w:r>
      <w:r>
        <w:rPr>
          <w:rFonts w:ascii="仿宋_GB2312" w:hAnsi="Arial" w:eastAsia="仿宋_GB2312" w:cs="仿宋_GB2312"/>
          <w:spacing w:val="15"/>
          <w:kern w:val="0"/>
          <w:sz w:val="32"/>
          <w:szCs w:val="32"/>
        </w:rPr>
        <w:t>5</w:t>
      </w:r>
      <w:r>
        <w:rPr>
          <w:rFonts w:hint="eastAsia" w:ascii="仿宋_GB2312" w:hAnsi="Arial" w:eastAsia="仿宋_GB2312" w:cs="仿宋_GB2312"/>
          <w:spacing w:val="15"/>
          <w:kern w:val="0"/>
          <w:sz w:val="32"/>
          <w:szCs w:val="32"/>
        </w:rPr>
        <w:t>年，可将专项债券核准文件的有效期从现行的</w:t>
      </w:r>
      <w:r>
        <w:rPr>
          <w:rFonts w:ascii="仿宋_GB2312" w:hAnsi="Arial" w:eastAsia="仿宋_GB2312" w:cs="仿宋_GB2312"/>
          <w:spacing w:val="15"/>
          <w:kern w:val="0"/>
          <w:sz w:val="32"/>
          <w:szCs w:val="32"/>
        </w:rPr>
        <w:t>1</w:t>
      </w:r>
      <w:r>
        <w:rPr>
          <w:rFonts w:hint="eastAsia" w:ascii="仿宋_GB2312" w:hAnsi="Arial" w:eastAsia="仿宋_GB2312" w:cs="仿宋_GB2312"/>
          <w:spacing w:val="15"/>
          <w:kern w:val="0"/>
          <w:sz w:val="32"/>
          <w:szCs w:val="32"/>
        </w:rPr>
        <w:t>年延长至</w:t>
      </w:r>
      <w:r>
        <w:rPr>
          <w:rFonts w:ascii="仿宋_GB2312" w:hAnsi="Arial" w:eastAsia="仿宋_GB2312" w:cs="仿宋_GB2312"/>
          <w:spacing w:val="15"/>
          <w:kern w:val="0"/>
          <w:sz w:val="32"/>
          <w:szCs w:val="32"/>
        </w:rPr>
        <w:t>2</w:t>
      </w:r>
      <w:r>
        <w:rPr>
          <w:rFonts w:hint="eastAsia" w:ascii="仿宋_GB2312" w:hAnsi="Arial" w:eastAsia="仿宋_GB2312" w:cs="仿宋_GB2312"/>
          <w:spacing w:val="15"/>
          <w:kern w:val="0"/>
          <w:sz w:val="32"/>
          <w:szCs w:val="32"/>
        </w:rPr>
        <w:t>年。企业可在该期限内根据项目建设资金需求和市场情况自主择机发行。</w:t>
      </w:r>
    </w:p>
    <w:p>
      <w:pPr>
        <w:widowControl/>
        <w:spacing w:before="300" w:line="525" w:lineRule="atLeast"/>
        <w:jc w:val="left"/>
        <w:rPr>
          <w:rFonts w:ascii="仿宋_GB2312" w:hAnsi="Arial" w:eastAsia="仿宋_GB2312" w:cs="Times New Roman"/>
          <w:spacing w:val="15"/>
          <w:kern w:val="0"/>
          <w:sz w:val="32"/>
          <w:szCs w:val="32"/>
        </w:rPr>
      </w:pPr>
      <w:r>
        <w:rPr>
          <w:rFonts w:ascii="Arial" w:hAnsi="Arial" w:eastAsia="仿宋_GB2312" w:cs="Times New Roman"/>
          <w:spacing w:val="15"/>
          <w:kern w:val="0"/>
          <w:sz w:val="32"/>
          <w:szCs w:val="32"/>
        </w:rPr>
        <w:t>      </w:t>
      </w:r>
      <w:r>
        <w:rPr>
          <w:rFonts w:ascii="仿宋_GB2312" w:hAnsi="Arial" w:eastAsia="仿宋_GB2312" w:cs="仿宋_GB2312"/>
          <w:spacing w:val="15"/>
          <w:kern w:val="0"/>
          <w:sz w:val="32"/>
          <w:szCs w:val="32"/>
        </w:rPr>
        <w:t xml:space="preserve"> </w:t>
      </w:r>
      <w:r>
        <w:rPr>
          <w:rFonts w:hint="eastAsia" w:ascii="仿宋_GB2312" w:hAnsi="Arial" w:eastAsia="仿宋_GB2312" w:cs="仿宋_GB2312"/>
          <w:spacing w:val="15"/>
          <w:kern w:val="0"/>
          <w:sz w:val="32"/>
          <w:szCs w:val="32"/>
        </w:rPr>
        <w:t>三、发债企业可根据地下综合管廊项目建设和资金回流特点，灵活设计专项债券的期限、还本付息时间安排以及发行安排。</w:t>
      </w:r>
    </w:p>
    <w:p>
      <w:pPr>
        <w:widowControl/>
        <w:spacing w:before="300" w:line="525" w:lineRule="atLeast"/>
        <w:jc w:val="left"/>
        <w:rPr>
          <w:rFonts w:ascii="仿宋_GB2312" w:hAnsi="Arial" w:eastAsia="仿宋_GB2312" w:cs="Times New Roman"/>
          <w:spacing w:val="15"/>
          <w:kern w:val="0"/>
          <w:sz w:val="32"/>
          <w:szCs w:val="32"/>
        </w:rPr>
      </w:pPr>
      <w:r>
        <w:rPr>
          <w:rFonts w:ascii="Arial" w:hAnsi="Arial" w:eastAsia="仿宋_GB2312" w:cs="Times New Roman"/>
          <w:spacing w:val="15"/>
          <w:kern w:val="0"/>
          <w:sz w:val="32"/>
          <w:szCs w:val="32"/>
        </w:rPr>
        <w:t>      </w:t>
      </w:r>
      <w:r>
        <w:rPr>
          <w:rFonts w:ascii="仿宋_GB2312" w:hAnsi="Arial" w:eastAsia="仿宋_GB2312" w:cs="仿宋_GB2312"/>
          <w:spacing w:val="15"/>
          <w:kern w:val="0"/>
          <w:sz w:val="32"/>
          <w:szCs w:val="32"/>
        </w:rPr>
        <w:t xml:space="preserve"> </w:t>
      </w:r>
      <w:r>
        <w:rPr>
          <w:rFonts w:hint="eastAsia" w:ascii="仿宋_GB2312" w:hAnsi="Arial" w:eastAsia="仿宋_GB2312" w:cs="仿宋_GB2312"/>
          <w:spacing w:val="15"/>
          <w:kern w:val="0"/>
          <w:sz w:val="32"/>
          <w:szCs w:val="32"/>
        </w:rPr>
        <w:t>四、地方政府应积极引导社会资本参与地下综合管廊项目建设，进一步完善城市规划，积极制定投资分担、使用付费、明晰产权等配套政策，为企业发行专项债券投资地下综合管廊项目创造收益稳定的政策环境。鼓励地方政府综合运用预算内资金支持、专项政府债券、城建配套资金等方式，制定多层次风险缓释政策，统筹加大对地下综合管廊建设专项债券的政策扶持力度。</w:t>
      </w:r>
    </w:p>
    <w:p>
      <w:pPr>
        <w:widowControl/>
        <w:spacing w:before="300" w:line="525" w:lineRule="atLeast"/>
        <w:jc w:val="left"/>
        <w:rPr>
          <w:rFonts w:ascii="仿宋_GB2312" w:hAnsi="Arial" w:eastAsia="仿宋_GB2312" w:cs="Times New Roman"/>
          <w:spacing w:val="15"/>
          <w:kern w:val="0"/>
          <w:sz w:val="32"/>
          <w:szCs w:val="32"/>
        </w:rPr>
      </w:pPr>
      <w:r>
        <w:rPr>
          <w:rFonts w:ascii="Arial" w:hAnsi="Arial" w:eastAsia="仿宋_GB2312" w:cs="Times New Roman"/>
          <w:spacing w:val="15"/>
          <w:kern w:val="0"/>
          <w:sz w:val="32"/>
          <w:szCs w:val="32"/>
        </w:rPr>
        <w:t>      </w:t>
      </w:r>
      <w:r>
        <w:rPr>
          <w:rFonts w:ascii="仿宋_GB2312" w:hAnsi="Arial" w:eastAsia="仿宋_GB2312" w:cs="仿宋_GB2312"/>
          <w:spacing w:val="15"/>
          <w:kern w:val="0"/>
          <w:sz w:val="32"/>
          <w:szCs w:val="32"/>
        </w:rPr>
        <w:t xml:space="preserve"> </w:t>
      </w:r>
      <w:r>
        <w:rPr>
          <w:rFonts w:hint="eastAsia" w:ascii="仿宋_GB2312" w:hAnsi="Arial" w:eastAsia="仿宋_GB2312" w:cs="仿宋_GB2312"/>
          <w:spacing w:val="15"/>
          <w:kern w:val="0"/>
          <w:sz w:val="32"/>
          <w:szCs w:val="32"/>
        </w:rPr>
        <w:t>五、鼓励地下综合管廊建设专项债券采取“债贷组合”增信方式，由商业银行进行债券和贷款统筹管理。“债贷组合”是按照“融资统一规划、债贷统一授信、动态长效监控、全程风险管理”的模式，由银行为企业制定系统性融资规划，根据项目建设融资需求，将企业债券和贷款统一纳入银行综合授信管理体系，对企业和项目债务融资实施全程管理。</w:t>
      </w:r>
    </w:p>
    <w:p>
      <w:pPr>
        <w:pStyle w:val="2"/>
        <w:spacing w:before="226" w:beforeAutospacing="0" w:after="376" w:afterAutospacing="0" w:line="520" w:lineRule="exact"/>
        <w:ind w:right="450"/>
        <w:jc w:val="both"/>
        <w:rPr>
          <w:rFonts w:ascii="仿宋_GB2312" w:hAnsi="仿宋" w:eastAsia="仿宋_GB2312" w:cs="Times New Roman"/>
          <w:sz w:val="32"/>
          <w:szCs w:val="32"/>
        </w:rPr>
      </w:pPr>
      <w:r>
        <w:rPr>
          <w:rFonts w:ascii="Arial" w:hAnsi="Arial" w:eastAsia="仿宋_GB2312" w:cs="Times New Roman"/>
          <w:spacing w:val="15"/>
          <w:sz w:val="32"/>
          <w:szCs w:val="32"/>
        </w:rPr>
        <w:t>      </w:t>
      </w:r>
      <w:r>
        <w:rPr>
          <w:rFonts w:ascii="仿宋_GB2312" w:hAnsi="Arial" w:eastAsia="仿宋_GB2312" w:cs="仿宋_GB2312"/>
          <w:spacing w:val="15"/>
          <w:sz w:val="32"/>
          <w:szCs w:val="32"/>
        </w:rPr>
        <w:t xml:space="preserve"> </w:t>
      </w:r>
      <w:r>
        <w:rPr>
          <w:rFonts w:hint="eastAsia" w:ascii="仿宋_GB2312" w:hAnsi="Arial" w:eastAsia="仿宋_GB2312" w:cs="仿宋_GB2312"/>
          <w:spacing w:val="15"/>
          <w:sz w:val="32"/>
          <w:szCs w:val="32"/>
        </w:rPr>
        <w:t>六、积极开展债券品种创新。鼓励地下综合管廊项目发行可续期债券，根据与使用单位签订合同和付款安排特点设置续期和利息偿付安排。对于具有稳定偿债资金来源的地下综合管廊建设项目，可按照融资</w:t>
      </w:r>
      <w:r>
        <w:rPr>
          <w:rFonts w:ascii="仿宋_GB2312" w:hAnsi="Arial" w:eastAsia="仿宋_GB2312" w:cs="仿宋_GB2312"/>
          <w:spacing w:val="15"/>
          <w:sz w:val="32"/>
          <w:szCs w:val="32"/>
        </w:rPr>
        <w:t>—</w:t>
      </w:r>
      <w:r>
        <w:rPr>
          <w:rFonts w:hint="eastAsia" w:ascii="仿宋_GB2312" w:hAnsi="Arial" w:eastAsia="仿宋_GB2312" w:cs="仿宋_GB2312"/>
          <w:spacing w:val="15"/>
          <w:sz w:val="32"/>
          <w:szCs w:val="32"/>
        </w:rPr>
        <w:t>投资建设</w:t>
      </w:r>
      <w:r>
        <w:rPr>
          <w:rFonts w:ascii="仿宋_GB2312" w:hAnsi="Arial" w:eastAsia="仿宋_GB2312" w:cs="仿宋_GB2312"/>
          <w:spacing w:val="15"/>
          <w:sz w:val="32"/>
          <w:szCs w:val="32"/>
        </w:rPr>
        <w:t>—</w:t>
      </w:r>
      <w:r>
        <w:rPr>
          <w:rFonts w:hint="eastAsia" w:ascii="仿宋_GB2312" w:hAnsi="Arial" w:eastAsia="仿宋_GB2312" w:cs="仿宋_GB2312"/>
          <w:spacing w:val="15"/>
          <w:sz w:val="32"/>
          <w:szCs w:val="32"/>
        </w:rPr>
        <w:t>回收资金封闭运行的模式，开展项目收益债券试点。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A94F85"/>
    <w:rsid w:val="69A94F8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Calibri"/>
      <w:kern w:val="2"/>
      <w:sz w:val="21"/>
      <w:szCs w:val="21"/>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styleId="4">
    <w:name w:val="Strong"/>
    <w:basedOn w:val="3"/>
    <w:qFormat/>
    <w:uiPriority w:val="0"/>
    <w:rPr>
      <w:rFonts w:cs="Times New Roman"/>
      <w:b/>
      <w:bCs/>
    </w:rPr>
  </w:style>
  <w:style w:type="character" w:styleId="5">
    <w:name w:val="Hyperlink"/>
    <w:basedOn w:val="3"/>
    <w:uiPriority w:val="0"/>
    <w:rPr>
      <w:rFonts w:cs="Times New Roman"/>
      <w:color w:val="auto"/>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2016-10-21T02:50:00Z</dcterms:created>
  <dc:creator>Administrator</dc:creator>
  <cp:lastModifiedBy>Administrator</cp:lastModifiedBy>
  <dcterms:modified xsi:type="dcterms:W3CDTF">2016-10-21T02:51:14Z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