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spacing w:line="520" w:lineRule="exact"/>
        <w:jc w:val="center"/>
        <w:rPr>
          <w:rStyle w:val="4"/>
          <w:rFonts w:ascii="仿宋_GB2312" w:hAnsi="仿宋" w:eastAsia="仿宋_GB2312"/>
          <w:sz w:val="36"/>
          <w:szCs w:val="36"/>
        </w:rPr>
      </w:pPr>
      <w:bookmarkStart w:id="0" w:name="_GoBack"/>
      <w:r>
        <w:rPr>
          <w:rStyle w:val="4"/>
          <w:rFonts w:hint="eastAsia" w:ascii="仿宋_GB2312" w:hAnsi="仿宋" w:eastAsia="仿宋_GB2312" w:cs="仿宋_GB2312"/>
          <w:sz w:val="36"/>
          <w:szCs w:val="36"/>
        </w:rPr>
        <w:t>国家发展改革委办公厅关于印发《城市停车场建设专项债券发行指引》的通知</w:t>
      </w:r>
      <w:bookmarkEnd w:id="0"/>
    </w:p>
    <w:p>
      <w:pPr>
        <w:pStyle w:val="2"/>
        <w:spacing w:line="520" w:lineRule="exact"/>
        <w:jc w:val="center"/>
        <w:rPr>
          <w:rStyle w:val="4"/>
          <w:rFonts w:ascii="仿宋_GB2312" w:hAnsi="仿宋" w:eastAsia="仿宋_GB2312"/>
          <w:sz w:val="36"/>
          <w:szCs w:val="36"/>
        </w:rPr>
      </w:pPr>
      <w:r>
        <w:rPr>
          <w:rStyle w:val="4"/>
          <w:rFonts w:hint="eastAsia" w:ascii="仿宋_GB2312" w:hAnsi="仿宋" w:eastAsia="仿宋_GB2312" w:cs="仿宋_GB2312"/>
          <w:sz w:val="36"/>
          <w:szCs w:val="36"/>
        </w:rPr>
        <w:t>全文</w:t>
      </w:r>
    </w:p>
    <w:p>
      <w:pPr>
        <w:pStyle w:val="2"/>
        <w:spacing w:line="520" w:lineRule="exact"/>
        <w:jc w:val="center"/>
        <w:rPr>
          <w:rFonts w:ascii="仿宋_GB2312" w:hAnsi="仿宋" w:eastAsia="仿宋_GB2312" w:cs="Times New Roman"/>
          <w:sz w:val="32"/>
          <w:szCs w:val="32"/>
        </w:rPr>
      </w:pPr>
      <w:r>
        <w:rPr>
          <w:rFonts w:hint="eastAsia" w:ascii="仿宋_GB2312" w:hAnsi="仿宋" w:eastAsia="仿宋_GB2312" w:cs="仿宋_GB2312"/>
          <w:sz w:val="32"/>
          <w:szCs w:val="32"/>
        </w:rPr>
        <w:t>发改办财金</w:t>
      </w:r>
      <w:r>
        <w:rPr>
          <w:rFonts w:ascii="仿宋_GB2312" w:hAnsi="仿宋" w:eastAsia="仿宋_GB2312" w:cs="仿宋_GB2312"/>
          <w:sz w:val="32"/>
          <w:szCs w:val="32"/>
        </w:rPr>
        <w:t>[2015]818</w:t>
      </w:r>
      <w:r>
        <w:rPr>
          <w:rFonts w:hint="eastAsia" w:ascii="仿宋_GB2312" w:hAnsi="仿宋" w:eastAsia="仿宋_GB2312" w:cs="仿宋_GB2312"/>
          <w:sz w:val="32"/>
          <w:szCs w:val="32"/>
        </w:rPr>
        <w:t>号</w:t>
      </w:r>
    </w:p>
    <w:p>
      <w:pPr>
        <w:pStyle w:val="2"/>
        <w:spacing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各省、自治区、直辖市及计划单列市、新疆生产建设兵团发展改革委：</w:t>
      </w:r>
    </w:p>
    <w:p>
      <w:pPr>
        <w:pStyle w:val="2"/>
        <w:spacing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为加大债券融资方式对信息电网油气等重大网络工程、健康与养老服务、生态环保、清洁能源、粮食和水利、交通、油气及矿产资源保障工程等七大类重大投资工程包，以及信息消费、绿色消费、住房消费、旅游休闲消费、教育文体消费和养老健康消费等六大领域消费工程的支持力度，拉动重点领域投资和消费需求增长，现将我委制定的《城市停车场建设专项债券发行指引》印发你们，请在企业债券预审工作中认真贯彻执行。</w:t>
      </w:r>
    </w:p>
    <w:p>
      <w:pPr>
        <w:pStyle w:val="2"/>
        <w:spacing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附件：</w:t>
      </w:r>
      <w:r>
        <w:fldChar w:fldCharType="begin"/>
      </w:r>
      <w:r>
        <w:instrText xml:space="preserve">HYPERLINK "http://cjs.ndrc.gov.cn/zcfg/201504/./W020150409384956552540.pdf"</w:instrText>
      </w:r>
      <w:r>
        <w:fldChar w:fldCharType="separate"/>
      </w:r>
      <w:r>
        <w:rPr>
          <w:rStyle w:val="5"/>
          <w:rFonts w:hint="eastAsia" w:ascii="仿宋_GB2312" w:hAnsi="仿宋" w:eastAsia="仿宋_GB2312" w:cs="仿宋_GB2312"/>
          <w:color w:val="0000FF"/>
          <w:sz w:val="32"/>
          <w:szCs w:val="32"/>
        </w:rPr>
        <w:t>《城市停车场建设专项债券发行指引》</w:t>
      </w:r>
      <w:r>
        <w:fldChar w:fldCharType="end"/>
      </w:r>
    </w:p>
    <w:p>
      <w:pPr>
        <w:pStyle w:val="2"/>
        <w:spacing w:line="520" w:lineRule="exact"/>
        <w:jc w:val="center"/>
        <w:rPr>
          <w:rFonts w:ascii="仿宋_GB2312" w:hAnsi="仿宋" w:eastAsia="仿宋_GB2312" w:cs="Times New Roman"/>
          <w:sz w:val="32"/>
          <w:szCs w:val="32"/>
        </w:rPr>
      </w:pPr>
    </w:p>
    <w:p>
      <w:pPr>
        <w:pStyle w:val="2"/>
        <w:spacing w:line="520" w:lineRule="exact"/>
        <w:jc w:val="center"/>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国家发展改革委办公厅</w:t>
      </w:r>
    </w:p>
    <w:p>
      <w:pPr>
        <w:pStyle w:val="2"/>
        <w:spacing w:line="520" w:lineRule="exact"/>
        <w:jc w:val="center"/>
        <w:rPr>
          <w:rFonts w:ascii="仿宋_GB2312" w:hAnsi="仿宋" w:eastAsia="仿宋_GB2312" w:cs="Times New Roman"/>
          <w:sz w:val="32"/>
          <w:szCs w:val="32"/>
        </w:rPr>
      </w:pPr>
      <w:r>
        <w:rPr>
          <w:rFonts w:ascii="仿宋_GB2312" w:hAnsi="仿宋" w:eastAsia="仿宋_GB2312" w:cs="仿宋_GB2312"/>
          <w:sz w:val="32"/>
          <w:szCs w:val="32"/>
        </w:rPr>
        <w:t xml:space="preserve">                       2015</w:t>
      </w:r>
      <w:r>
        <w:rPr>
          <w:rFonts w:hint="eastAsia" w:ascii="仿宋_GB2312" w:hAnsi="仿宋" w:eastAsia="仿宋_GB2312" w:cs="仿宋_GB2312"/>
          <w:sz w:val="32"/>
          <w:szCs w:val="32"/>
        </w:rPr>
        <w:t>年</w:t>
      </w:r>
      <w:r>
        <w:rPr>
          <w:rFonts w:ascii="仿宋_GB2312" w:hAnsi="仿宋" w:eastAsia="仿宋_GB2312" w:cs="仿宋_GB2312"/>
          <w:sz w:val="32"/>
          <w:szCs w:val="32"/>
        </w:rPr>
        <w:t>4</w:t>
      </w:r>
      <w:r>
        <w:rPr>
          <w:rFonts w:hint="eastAsia" w:ascii="仿宋_GB2312" w:hAnsi="仿宋" w:eastAsia="仿宋_GB2312" w:cs="仿宋_GB2312"/>
          <w:sz w:val="32"/>
          <w:szCs w:val="32"/>
        </w:rPr>
        <w:t>月</w:t>
      </w:r>
      <w:r>
        <w:rPr>
          <w:rFonts w:ascii="仿宋_GB2312" w:hAnsi="仿宋" w:eastAsia="仿宋_GB2312" w:cs="仿宋_GB2312"/>
          <w:sz w:val="32"/>
          <w:szCs w:val="32"/>
        </w:rPr>
        <w:t>7</w:t>
      </w:r>
      <w:r>
        <w:rPr>
          <w:rFonts w:hint="eastAsia" w:ascii="仿宋_GB2312" w:hAnsi="仿宋" w:eastAsia="仿宋_GB2312" w:cs="仿宋_GB2312"/>
          <w:sz w:val="32"/>
          <w:szCs w:val="32"/>
        </w:rPr>
        <w:t>日</w:t>
      </w:r>
    </w:p>
    <w:p>
      <w:pPr>
        <w:widowControl/>
        <w:spacing w:before="300" w:line="525" w:lineRule="atLeast"/>
        <w:ind w:firstLine="480" w:firstLineChars="200"/>
        <w:jc w:val="left"/>
        <w:rPr>
          <w:rFonts w:ascii="Arial" w:hAnsi="Arial" w:cs="Arial"/>
          <w:color w:val="666666"/>
          <w:spacing w:val="15"/>
          <w:kern w:val="0"/>
        </w:rPr>
      </w:pPr>
    </w:p>
    <w:p>
      <w:pPr>
        <w:widowControl/>
        <w:spacing w:before="300" w:line="525" w:lineRule="atLeast"/>
        <w:ind w:firstLine="480" w:firstLineChars="200"/>
        <w:jc w:val="left"/>
        <w:rPr>
          <w:rFonts w:ascii="Arial" w:hAnsi="Arial" w:cs="Arial"/>
          <w:color w:val="666666"/>
          <w:spacing w:val="15"/>
          <w:kern w:val="0"/>
        </w:rPr>
      </w:pPr>
    </w:p>
    <w:p>
      <w:pPr>
        <w:widowControl/>
        <w:spacing w:before="300" w:line="525" w:lineRule="atLeast"/>
        <w:ind w:firstLine="700" w:firstLineChars="200"/>
        <w:jc w:val="left"/>
        <w:rPr>
          <w:rFonts w:ascii="仿宋_GB2312" w:hAnsi="Arial" w:eastAsia="仿宋_GB2312" w:cs="Times New Roman"/>
          <w:spacing w:val="15"/>
          <w:sz w:val="32"/>
          <w:szCs w:val="32"/>
        </w:rPr>
      </w:pPr>
      <w:r>
        <w:rPr>
          <w:rFonts w:hint="eastAsia" w:ascii="仿宋_GB2312" w:hAnsi="Arial" w:eastAsia="仿宋_GB2312" w:cs="仿宋_GB2312"/>
          <w:spacing w:val="15"/>
          <w:sz w:val="32"/>
          <w:szCs w:val="32"/>
        </w:rPr>
        <w:t>附件：</w:t>
      </w:r>
    </w:p>
    <w:p>
      <w:pPr>
        <w:widowControl/>
        <w:spacing w:before="300" w:line="525" w:lineRule="atLeast"/>
        <w:ind w:firstLine="700" w:firstLineChars="200"/>
        <w:jc w:val="center"/>
        <w:rPr>
          <w:rFonts w:ascii="仿宋_GB2312" w:hAnsi="Arial" w:eastAsia="仿宋_GB2312" w:cs="Times New Roman"/>
          <w:spacing w:val="15"/>
          <w:kern w:val="0"/>
          <w:sz w:val="32"/>
          <w:szCs w:val="32"/>
        </w:rPr>
      </w:pPr>
      <w:r>
        <w:rPr>
          <w:rFonts w:hint="eastAsia" w:ascii="仿宋_GB2312" w:hAnsi="Arial" w:eastAsia="仿宋_GB2312" w:cs="仿宋_GB2312"/>
          <w:spacing w:val="15"/>
          <w:sz w:val="32"/>
          <w:szCs w:val="32"/>
        </w:rPr>
        <w:t>城市停车场建设专项债券发行指引</w:t>
      </w:r>
    </w:p>
    <w:p>
      <w:pPr>
        <w:widowControl/>
        <w:spacing w:before="300" w:line="525" w:lineRule="atLeast"/>
        <w:ind w:firstLine="700" w:firstLineChars="200"/>
        <w:jc w:val="left"/>
        <w:rPr>
          <w:rFonts w:ascii="仿宋_GB2312" w:hAnsi="Arial" w:eastAsia="仿宋_GB2312" w:cs="Times New Roman"/>
          <w:spacing w:val="15"/>
          <w:kern w:val="0"/>
          <w:sz w:val="32"/>
          <w:szCs w:val="32"/>
        </w:rPr>
      </w:pPr>
      <w:r>
        <w:rPr>
          <w:rFonts w:hint="eastAsia" w:ascii="仿宋_GB2312" w:hAnsi="Arial" w:eastAsia="仿宋_GB2312" w:cs="仿宋_GB2312"/>
          <w:spacing w:val="15"/>
          <w:kern w:val="0"/>
          <w:sz w:val="32"/>
          <w:szCs w:val="32"/>
        </w:rPr>
        <w:t>为缓解我国城市普遍存在的因停车需求爆发式增长而导致的停车难问题，加大企业债券融资方式对城市停车场建设及运营的支持力度，引导和鼓励社会投入，制定本指引。</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一、鼓励企业发行债券专项用于城市停车场建设项目，在相关手续齐备、偿债措施完善的基础上，比照我委“加快和简化审核类”债券审核程序，提高审核效率。</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二、在偿债保障措施较为完善的基础上，企业申请发行城市停车场建设专项债券，可适当放宽企业债券现行审核政策及《关于全面加强企业债券风险防范的若干意见》中规定的部分准入条件。</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（一）发行城市停车场建设专项债券的城投类企业不受发债指标限制。</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二）债券募集资金可用于房地产开发、城市基础设施建设项目（以下简称“主体项目”）中配套建设的城市停车场项目，具体投资规模可由主体项目审批部门根据主体项目可行性研究报告内容出具专项意见核定。</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（三）募集资金占城市停车场项目总投资比例由不超过</w:t>
      </w:r>
      <w:r>
        <w:rPr>
          <w:rFonts w:ascii="仿宋_GB2312" w:hAnsi="Arial" w:eastAsia="仿宋_GB2312" w:cs="仿宋_GB2312"/>
          <w:spacing w:val="15"/>
          <w:kern w:val="0"/>
          <w:sz w:val="32"/>
          <w:szCs w:val="32"/>
        </w:rPr>
        <w:t>60%</w:t>
      </w:r>
      <w:r>
        <w:rPr>
          <w:rFonts w:hint="eastAsia" w:ascii="仿宋_GB2312" w:hAnsi="Arial" w:eastAsia="仿宋_GB2312" w:cs="仿宋_GB2312"/>
          <w:spacing w:val="15"/>
          <w:kern w:val="0"/>
          <w:sz w:val="32"/>
          <w:szCs w:val="32"/>
        </w:rPr>
        <w:t>放宽至不超过</w:t>
      </w:r>
      <w:r>
        <w:rPr>
          <w:rFonts w:ascii="仿宋_GB2312" w:hAnsi="Arial" w:eastAsia="仿宋_GB2312" w:cs="仿宋_GB2312"/>
          <w:spacing w:val="15"/>
          <w:kern w:val="0"/>
          <w:sz w:val="32"/>
          <w:szCs w:val="32"/>
        </w:rPr>
        <w:t>70%</w:t>
      </w:r>
      <w:r>
        <w:rPr>
          <w:rFonts w:hint="eastAsia" w:ascii="仿宋_GB2312" w:hAnsi="Arial" w:eastAsia="仿宋_GB2312" w:cs="仿宋_GB2312"/>
          <w:spacing w:val="15"/>
          <w:kern w:val="0"/>
          <w:sz w:val="32"/>
          <w:szCs w:val="32"/>
        </w:rPr>
        <w:t>。</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（四）将城投类企业和一般生产经营性企业需提供担保措施的资产负债率要求分别放宽至</w:t>
      </w:r>
      <w:r>
        <w:rPr>
          <w:rFonts w:ascii="仿宋_GB2312" w:hAnsi="Arial" w:eastAsia="仿宋_GB2312" w:cs="仿宋_GB2312"/>
          <w:spacing w:val="15"/>
          <w:kern w:val="0"/>
          <w:sz w:val="32"/>
          <w:szCs w:val="32"/>
        </w:rPr>
        <w:t>70%</w:t>
      </w:r>
      <w:r>
        <w:rPr>
          <w:rFonts w:hint="eastAsia" w:ascii="仿宋_GB2312" w:hAnsi="Arial" w:eastAsia="仿宋_GB2312" w:cs="仿宋_GB2312"/>
          <w:spacing w:val="15"/>
          <w:kern w:val="0"/>
          <w:sz w:val="32"/>
          <w:szCs w:val="32"/>
        </w:rPr>
        <w:t>和</w:t>
      </w:r>
      <w:r>
        <w:rPr>
          <w:rFonts w:ascii="仿宋_GB2312" w:hAnsi="Arial" w:eastAsia="仿宋_GB2312" w:cs="仿宋_GB2312"/>
          <w:spacing w:val="15"/>
          <w:kern w:val="0"/>
          <w:sz w:val="32"/>
          <w:szCs w:val="32"/>
        </w:rPr>
        <w:t>75%</w:t>
      </w:r>
      <w:r>
        <w:rPr>
          <w:rFonts w:hint="eastAsia" w:ascii="仿宋_GB2312" w:hAnsi="Arial" w:eastAsia="仿宋_GB2312" w:cs="仿宋_GB2312"/>
          <w:spacing w:val="15"/>
          <w:kern w:val="0"/>
          <w:sz w:val="32"/>
          <w:szCs w:val="32"/>
        </w:rPr>
        <w:t>；主体评级</w:t>
      </w:r>
      <w:r>
        <w:rPr>
          <w:rFonts w:ascii="仿宋_GB2312" w:hAnsi="Arial" w:eastAsia="仿宋_GB2312" w:cs="仿宋_GB2312"/>
          <w:spacing w:val="15"/>
          <w:kern w:val="0"/>
          <w:sz w:val="32"/>
          <w:szCs w:val="32"/>
        </w:rPr>
        <w:t>AAA</w:t>
      </w:r>
      <w:r>
        <w:rPr>
          <w:rFonts w:hint="eastAsia" w:ascii="仿宋_GB2312" w:hAnsi="Arial" w:eastAsia="仿宋_GB2312" w:cs="仿宋_GB2312"/>
          <w:spacing w:val="15"/>
          <w:kern w:val="0"/>
          <w:sz w:val="32"/>
          <w:szCs w:val="32"/>
        </w:rPr>
        <w:t>的，资产负债率要求进一步放宽至</w:t>
      </w:r>
      <w:r>
        <w:rPr>
          <w:rFonts w:ascii="仿宋_GB2312" w:hAnsi="Arial" w:eastAsia="仿宋_GB2312" w:cs="仿宋_GB2312"/>
          <w:spacing w:val="15"/>
          <w:kern w:val="0"/>
          <w:sz w:val="32"/>
          <w:szCs w:val="32"/>
        </w:rPr>
        <w:t>75%</w:t>
      </w:r>
      <w:r>
        <w:rPr>
          <w:rFonts w:hint="eastAsia" w:ascii="仿宋_GB2312" w:hAnsi="Arial" w:eastAsia="仿宋_GB2312" w:cs="仿宋_GB2312"/>
          <w:spacing w:val="15"/>
          <w:kern w:val="0"/>
          <w:sz w:val="32"/>
          <w:szCs w:val="32"/>
        </w:rPr>
        <w:t>和</w:t>
      </w:r>
      <w:r>
        <w:rPr>
          <w:rFonts w:ascii="仿宋_GB2312" w:hAnsi="Arial" w:eastAsia="仿宋_GB2312" w:cs="仿宋_GB2312"/>
          <w:spacing w:val="15"/>
          <w:kern w:val="0"/>
          <w:sz w:val="32"/>
          <w:szCs w:val="32"/>
        </w:rPr>
        <w:t>80%</w:t>
      </w:r>
      <w:r>
        <w:rPr>
          <w:rFonts w:hint="eastAsia" w:ascii="仿宋_GB2312" w:hAnsi="Arial" w:eastAsia="仿宋_GB2312" w:cs="仿宋_GB2312"/>
          <w:spacing w:val="15"/>
          <w:kern w:val="0"/>
          <w:sz w:val="32"/>
          <w:szCs w:val="32"/>
        </w:rPr>
        <w:t>。</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（五）不受“地方政府所属城投企业已发行未偿付的企业债券、中期票据余额与地方政府当年</w:t>
      </w:r>
      <w:r>
        <w:rPr>
          <w:rFonts w:ascii="仿宋_GB2312" w:hAnsi="Arial" w:eastAsia="仿宋_GB2312" w:cs="仿宋_GB2312"/>
          <w:spacing w:val="15"/>
          <w:kern w:val="0"/>
          <w:sz w:val="32"/>
          <w:szCs w:val="32"/>
        </w:rPr>
        <w:t>GDP</w:t>
      </w:r>
      <w:r>
        <w:rPr>
          <w:rFonts w:hint="eastAsia" w:ascii="仿宋_GB2312" w:hAnsi="Arial" w:eastAsia="仿宋_GB2312" w:cs="仿宋_GB2312"/>
          <w:spacing w:val="15"/>
          <w:kern w:val="0"/>
          <w:sz w:val="32"/>
          <w:szCs w:val="32"/>
        </w:rPr>
        <w:t>的比值超过</w:t>
      </w:r>
      <w:r>
        <w:rPr>
          <w:rFonts w:ascii="仿宋_GB2312" w:hAnsi="Arial" w:eastAsia="仿宋_GB2312" w:cs="仿宋_GB2312"/>
          <w:spacing w:val="15"/>
          <w:kern w:val="0"/>
          <w:sz w:val="32"/>
          <w:szCs w:val="32"/>
        </w:rPr>
        <w:t>8%</w:t>
      </w:r>
      <w:r>
        <w:rPr>
          <w:rFonts w:hint="eastAsia" w:ascii="仿宋_GB2312" w:hAnsi="Arial" w:eastAsia="仿宋_GB2312" w:cs="仿宋_GB2312"/>
          <w:spacing w:val="15"/>
          <w:kern w:val="0"/>
          <w:sz w:val="32"/>
          <w:szCs w:val="32"/>
        </w:rPr>
        <w:t>的，其所属城投企业发债应严格控制”的限制。</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（六）城投类企业不受“单次发债规模，原则上不超过所属地方政府上年本级公共财政预算收入”的限制。</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三、发债募集资金用于按照“政府出地、市场出资”公私合作模式（</w:t>
      </w:r>
      <w:r>
        <w:rPr>
          <w:rFonts w:ascii="仿宋_GB2312" w:hAnsi="Arial" w:eastAsia="仿宋_GB2312" w:cs="仿宋_GB2312"/>
          <w:spacing w:val="15"/>
          <w:kern w:val="0"/>
          <w:sz w:val="32"/>
          <w:szCs w:val="32"/>
        </w:rPr>
        <w:t>PPP</w:t>
      </w:r>
      <w:r>
        <w:rPr>
          <w:rFonts w:hint="eastAsia" w:ascii="仿宋_GB2312" w:hAnsi="Arial" w:eastAsia="仿宋_GB2312" w:cs="仿宋_GB2312"/>
          <w:spacing w:val="15"/>
          <w:kern w:val="0"/>
          <w:sz w:val="32"/>
          <w:szCs w:val="32"/>
        </w:rPr>
        <w:t>）建设的城市停车场项目的，应提供当地政府和相关部门批准同意的城市停车场建设专项规划、实施方案、特许经营方案、资金补助协议，同时应明确项目所用土地的权属和性质。</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四、鼓励地方政府综合运用预算内资金、城市基础设施建设专项资金，通过投资补助、基金注资、担保补贴、贷款贴息等多种方式，支持城市停车场建设专项债券发行。地方价格部门应及时制定和完善停车场收费价格政策，保护城市停车场的合理盈利空间。</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五、优化城市停车场建设项目品种方案设计。一是可根据项目资金回流的具体情况科学设计债券发行方案，支持合理灵活设置债券期限、选择权及还本付息方式。二是积极探索停车设施产权、专项经营权、预期收益质押担保等形式。三是鼓励发债用于委托经营或转让</w:t>
      </w:r>
      <w:r>
        <w:rPr>
          <w:rFonts w:ascii="仿宋_GB2312" w:hAnsi="Arial" w:eastAsia="仿宋_GB2312" w:cs="仿宋_GB2312"/>
          <w:spacing w:val="15"/>
          <w:kern w:val="0"/>
          <w:sz w:val="32"/>
          <w:szCs w:val="32"/>
        </w:rPr>
        <w:t>—</w:t>
      </w:r>
      <w:r>
        <w:rPr>
          <w:rFonts w:hint="eastAsia" w:ascii="仿宋_GB2312" w:hAnsi="Arial" w:eastAsia="仿宋_GB2312" w:cs="仿宋_GB2312"/>
          <w:spacing w:val="15"/>
          <w:kern w:val="0"/>
          <w:sz w:val="32"/>
          <w:szCs w:val="32"/>
        </w:rPr>
        <w:t>经营</w:t>
      </w:r>
      <w:r>
        <w:rPr>
          <w:rFonts w:ascii="仿宋_GB2312" w:hAnsi="Arial" w:eastAsia="仿宋_GB2312" w:cs="仿宋_GB2312"/>
          <w:spacing w:val="15"/>
          <w:kern w:val="0"/>
          <w:sz w:val="32"/>
          <w:szCs w:val="32"/>
        </w:rPr>
        <w:t>—</w:t>
      </w:r>
      <w:r>
        <w:rPr>
          <w:rFonts w:hint="eastAsia" w:ascii="仿宋_GB2312" w:hAnsi="Arial" w:eastAsia="仿宋_GB2312" w:cs="仿宋_GB2312"/>
          <w:spacing w:val="15"/>
          <w:kern w:val="0"/>
          <w:sz w:val="32"/>
          <w:szCs w:val="32"/>
        </w:rPr>
        <w:t>转让（</w:t>
      </w:r>
      <w:r>
        <w:rPr>
          <w:rFonts w:ascii="仿宋_GB2312" w:hAnsi="Arial" w:eastAsia="仿宋_GB2312" w:cs="仿宋_GB2312"/>
          <w:spacing w:val="15"/>
          <w:kern w:val="0"/>
          <w:sz w:val="32"/>
          <w:szCs w:val="32"/>
        </w:rPr>
        <w:t>TOT</w:t>
      </w:r>
      <w:r>
        <w:rPr>
          <w:rFonts w:hint="eastAsia" w:ascii="仿宋_GB2312" w:hAnsi="Arial" w:eastAsia="仿宋_GB2312" w:cs="仿宋_GB2312"/>
          <w:spacing w:val="15"/>
          <w:kern w:val="0"/>
          <w:sz w:val="32"/>
          <w:szCs w:val="32"/>
        </w:rPr>
        <w:t>）等方式，收购已建成的停车场统一经营管理。</w:t>
      </w:r>
    </w:p>
    <w:p>
      <w:pPr>
        <w:widowControl/>
        <w:spacing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六、鼓励城市停车场建设项目采取“债贷组合”增信方式，由商业银行进行债券和贷款统筹管理。“债贷组合”是按照“融资统一规划、债贷统一授信、动态长效监控、全程风险管理”的模式，由银行为企业制定系统性融资规划，根据项目建设融资需求，将企业债券和贷款统一纳入银行综合授信管理体系，对企业债务融资实施全程管理。</w:t>
      </w:r>
    </w:p>
    <w:p>
      <w:pPr>
        <w:pStyle w:val="2"/>
        <w:spacing w:before="226" w:beforeAutospacing="0" w:after="376" w:afterAutospacing="0" w:line="520" w:lineRule="exact"/>
        <w:jc w:val="center"/>
        <w:rPr>
          <w:rStyle w:val="4"/>
          <w:rFonts w:ascii="仿宋_GB2312" w:hAnsi="仿宋" w:eastAsia="仿宋_GB2312"/>
          <w:sz w:val="32"/>
          <w:szCs w:val="32"/>
        </w:rPr>
      </w:pPr>
      <w:r>
        <w:rPr>
          <w:rFonts w:ascii="Arial" w:hAnsi="Arial" w:eastAsia="仿宋_GB2312" w:cs="Times New Roman"/>
          <w:spacing w:val="15"/>
          <w:sz w:val="32"/>
          <w:szCs w:val="32"/>
        </w:rPr>
        <w:t>      </w:t>
      </w:r>
      <w:r>
        <w:rPr>
          <w:rFonts w:ascii="仿宋_GB2312" w:hAnsi="Arial" w:eastAsia="仿宋_GB2312" w:cs="仿宋_GB2312"/>
          <w:spacing w:val="15"/>
          <w:sz w:val="32"/>
          <w:szCs w:val="32"/>
        </w:rPr>
        <w:t xml:space="preserve"> </w:t>
      </w:r>
      <w:r>
        <w:rPr>
          <w:rFonts w:hint="eastAsia" w:ascii="仿宋_GB2312" w:hAnsi="Arial" w:eastAsia="仿宋_GB2312" w:cs="仿宋_GB2312"/>
          <w:spacing w:val="15"/>
          <w:sz w:val="32"/>
          <w:szCs w:val="32"/>
        </w:rPr>
        <w:t>七、积极开展债券品种创新，对于具有稳定偿债资金来源的停车场建设项目，可按照融资</w:t>
      </w:r>
      <w:r>
        <w:rPr>
          <w:rFonts w:ascii="仿宋_GB2312" w:hAnsi="Arial" w:eastAsia="仿宋_GB2312" w:cs="仿宋_GB2312"/>
          <w:spacing w:val="15"/>
          <w:sz w:val="32"/>
          <w:szCs w:val="32"/>
        </w:rPr>
        <w:t>—</w:t>
      </w:r>
      <w:r>
        <w:rPr>
          <w:rFonts w:hint="eastAsia" w:ascii="仿宋_GB2312" w:hAnsi="Arial" w:eastAsia="仿宋_GB2312" w:cs="仿宋_GB2312"/>
          <w:spacing w:val="15"/>
          <w:sz w:val="32"/>
          <w:szCs w:val="32"/>
        </w:rPr>
        <w:t>投资建设</w:t>
      </w:r>
      <w:r>
        <w:rPr>
          <w:rFonts w:ascii="仿宋_GB2312" w:hAnsi="Arial" w:eastAsia="仿宋_GB2312" w:cs="仿宋_GB2312"/>
          <w:spacing w:val="15"/>
          <w:sz w:val="32"/>
          <w:szCs w:val="32"/>
        </w:rPr>
        <w:t>—</w:t>
      </w:r>
      <w:r>
        <w:rPr>
          <w:rFonts w:hint="eastAsia" w:ascii="仿宋_GB2312" w:hAnsi="Arial" w:eastAsia="仿宋_GB2312" w:cs="仿宋_GB2312"/>
          <w:spacing w:val="15"/>
          <w:sz w:val="32"/>
          <w:szCs w:val="32"/>
        </w:rPr>
        <w:t>回收资金封闭运行的模式，开展项目收益债券试点。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91F58"/>
    <w:multiLevelType w:val="multilevel"/>
    <w:tmpl w:val="34991F58"/>
    <w:lvl w:ilvl="0" w:tentative="0">
      <w:start w:val="5"/>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91251"/>
    <w:rsid w:val="7CA912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kern w:val="2"/>
      <w:sz w:val="21"/>
      <w:szCs w:val="21"/>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4">
    <w:name w:val="Strong"/>
    <w:basedOn w:val="3"/>
    <w:qFormat/>
    <w:uiPriority w:val="0"/>
    <w:rPr>
      <w:rFonts w:cs="Times New Roman"/>
      <w:b/>
      <w:bCs/>
    </w:rPr>
  </w:style>
  <w:style w:type="character" w:styleId="5">
    <w:name w:val="Hyperlink"/>
    <w:basedOn w:val="3"/>
    <w:uiPriority w:val="0"/>
    <w:rPr>
      <w:rFonts w:cs="Times New Roman"/>
      <w:color w:val="auto"/>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2016-10-21T02:49:00Z</dcterms:created>
  <dc:creator>Administrator</dc:creator>
  <cp:lastModifiedBy>Administrator</cp:lastModifiedBy>
  <dcterms:modified xsi:type="dcterms:W3CDTF">2016-10-21T02:50:42Z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