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注销行政执法人员名单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>填报单位（公章）：汕头市农业局      联系电话：88135859                填报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>时间： 2017年12月25日</w:t>
      </w:r>
    </w:p>
    <w:tbl>
      <w:tblPr>
        <w:tblStyle w:val="3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051"/>
        <w:gridCol w:w="2649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汕头市农业局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吴汉伟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D166984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汕头市农业局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佘克潮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D073597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汕头市公安局森林分局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方跃生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D043493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汕头市动物防疫监督所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黄志强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D073614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汕头市动物防疫监督所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陈丽洁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>D043566</w:t>
            </w:r>
          </w:p>
        </w:tc>
      </w:tr>
    </w:tbl>
    <w:p>
      <w:pP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</w:p>
    <w:p/>
    <w:sectPr>
      <w:pgSz w:w="16838" w:h="11906" w:orient="landscape"/>
      <w:pgMar w:top="1247" w:right="1361" w:bottom="850" w:left="1361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6CC0"/>
    <w:rsid w:val="6C1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2017-12-25T01:55:00Z</dcterms:created>
  <dc:creator>Administrator</dc:creator>
  <cp:lastModifiedBy>Administrator</cp:lastModifiedBy>
  <dcterms:modified xsi:type="dcterms:W3CDTF">2017-12-25T01:57:12Z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