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textAlignment w:val="auto"/>
        <w:rPr>
          <w:rFonts w:hint="eastAsia" w:ascii="Times New Roman" w:hAnsi="Times New Roman" w:eastAsia="方正黑体简体"/>
          <w:bCs/>
          <w:sz w:val="32"/>
          <w:szCs w:val="32"/>
          <w:lang w:val="en-US" w:eastAsia="zh-CN"/>
        </w:rPr>
      </w:pPr>
      <w:r>
        <w:rPr>
          <w:rFonts w:hint="eastAsia" w:ascii="Times New Roman" w:hAnsi="Times New Roman" w:eastAsia="方正黑体简体"/>
          <w:bCs/>
          <w:sz w:val="32"/>
          <w:szCs w:val="32"/>
          <w:lang w:val="en-US" w:eastAsia="zh-CN"/>
        </w:rPr>
        <w:t>附件6</w:t>
      </w:r>
    </w:p>
    <w:p>
      <w:pPr>
        <w:keepNext w:val="0"/>
        <w:keepLines w:val="0"/>
        <w:pageBreakBefore w:val="0"/>
        <w:kinsoku/>
        <w:wordWrap/>
        <w:overflowPunct/>
        <w:topLinePunct w:val="0"/>
        <w:autoSpaceDE/>
        <w:autoSpaceDN/>
        <w:bidi w:val="0"/>
        <w:adjustRightInd/>
        <w:spacing w:line="520" w:lineRule="exact"/>
        <w:textAlignment w:val="auto"/>
        <w:rPr>
          <w:rFonts w:hint="default" w:ascii="Times New Roman" w:hAnsi="Times New Roman" w:eastAsia="方正黑体简体"/>
          <w:bCs/>
          <w:sz w:val="32"/>
          <w:szCs w:val="32"/>
          <w:lang w:val="en-US" w:eastAsia="zh-CN"/>
        </w:rPr>
      </w:pPr>
    </w:p>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汕头高新区华侨青年人才、留学归国人才入驻</w:t>
      </w:r>
    </w:p>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汕头高新区国家级企业孵化器项目</w:t>
      </w:r>
    </w:p>
    <w:p>
      <w:pPr>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免租金服务申报指南</w:t>
      </w:r>
    </w:p>
    <w:p>
      <w:pPr>
        <w:pStyle w:val="12"/>
        <w:rPr>
          <w:rFonts w:hint="eastAsia" w:ascii="方正仿宋简体" w:hAnsi="方正仿宋简体" w:eastAsia="方正仿宋简体" w:cs="方正仿宋简体"/>
          <w:sz w:val="21"/>
          <w:szCs w:val="21"/>
          <w:lang w:val="en-US" w:eastAsia="zh-CN"/>
        </w:rPr>
      </w:pP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val="en-US" w:eastAsia="zh-CN"/>
        </w:rPr>
        <w:t>支持对象：</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华侨青年人才、留学归国人才入驻汕头高新区国家级企业孵化器的项目。</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二、申报条件、支持标准和申报时限：</w:t>
      </w:r>
    </w:p>
    <w:p>
      <w:pPr>
        <w:spacing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（一）申报条件：</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1、华侨青年人才、留学归国人才为入驻汕头高新区国家级企业孵化器项目的实际出资人或持有50%以上份额的股东或全职在入驻项目企业工作；</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2、项目入驻汕头高新区国家级企业孵化器时间须为2022年3月1日后（含当日）；</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、华侨青年人才、留学归国人才与入驻项目企业一次性签订3年以上或连续累计签订3年以上全职劳动合同；</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eastAsia" w:ascii="Times New Roman" w:hAnsi="Times New Roman" w:eastAsia="方正仿宋简体" w:cs="Times New Roman"/>
          <w:sz w:val="32"/>
          <w:szCs w:val="32"/>
          <w:lang w:val="en-US" w:eastAsia="zh-CN"/>
        </w:rPr>
        <w:t>华侨青年人才、留学归国人才在入驻项目企业按规定连续依法缴纳社会保险满</w:t>
      </w: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个月；</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Times New Roman" w:hAnsi="Times New Roman" w:cs="Times New Roman"/>
          <w:sz w:val="32"/>
          <w:szCs w:val="32"/>
          <w:lang w:val="en-US" w:eastAsia="zh-CN"/>
        </w:rPr>
        <w:t>5、华侨青年人才、留学归国人才缴纳社会保险单位与所签订劳动合同用人单位一致，且申请时劳动关系仍在存续期内。</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（二）支持标准：</w:t>
      </w:r>
      <w:r>
        <w:rPr>
          <w:rFonts w:hint="eastAsia" w:ascii="Times New Roman" w:hAnsi="Times New Roman" w:eastAsia="方正仿宋简体" w:cs="Times New Roman"/>
          <w:sz w:val="32"/>
          <w:szCs w:val="32"/>
          <w:lang w:val="en-US" w:eastAsia="zh-CN"/>
        </w:rPr>
        <w:t>对华侨青年人才、留学归国人才入驻汕头高新区国家级企业孵化器的项目，按照高新区现有孵化基地管理办法提供一定年限免租金服务。</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（三）申报时限：</w:t>
      </w:r>
      <w:r>
        <w:rPr>
          <w:rFonts w:hint="eastAsia" w:ascii="Times New Roman" w:hAnsi="Times New Roman" w:eastAsia="方正仿宋简体" w:cs="Times New Roman"/>
          <w:sz w:val="32"/>
          <w:szCs w:val="32"/>
          <w:lang w:val="en-US" w:eastAsia="zh-CN"/>
        </w:rPr>
        <w:t>本《人才措施》发布之日起至有效期内符合条件者均可申请。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三、申报材料和审批程序：</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（一）申报材料：</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1、《汕头高新区华侨青年人才、留学归国人才入驻汕头高新区国家级企业孵化器项目免租金服务申请表》；</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2、华侨青年人才、留学归国人才身份资质证明；</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3、华侨青年人才、留学归国人才已入驻汕头高新区国家级企业孵化器项目佐证材料；</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4、华侨青年人才、留学归国人才与入驻项目企业签订的全职劳动合同；</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eastAsia" w:ascii="Times New Roman" w:hAnsi="Times New Roman" w:eastAsia="方正仿宋简体" w:cs="Times New Roman"/>
          <w:sz w:val="32"/>
          <w:szCs w:val="32"/>
          <w:lang w:val="en-US" w:eastAsia="zh-CN"/>
        </w:rPr>
        <w:t>华侨青年人才、留学归国人才参加社会保险证明；</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6、企业营业执照或统一社会信用代码证。</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上述申报材料均一式一份，其中第1项提供原件，其他材料在线上上传原件扫描件，纸质版提供复印件，申报材料复印件由申报单位负责确认与原件相符并加盖公章。</w:t>
      </w:r>
    </w:p>
    <w:p>
      <w:pPr>
        <w:spacing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（二）审批程序：</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1、申报：由区内企业通过汕头高新区企业服务平台PC端线上申报，线上初审通过后将纸质申报材料一式一份装订成册提交至汕头高新区人力资源服务中心；</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2、审批：由汕头高新区人力资源服务中心会同汕头高新区产业与科技服务中心审核后提出拟提供免租金项目名单，报送至汕头高新区党政办公室，区党政办按规定报批；</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3、公示：拟提供免租金项目名单在高新区管委会门户网站公示，时间5天；</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4、核准：符合支持条件的，同意申请人入驻汕头高新区国家级企业孵化器项目，按高新区现有孵化基地管理办法提供免租金服务。</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四、受理部门：</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受理部门：汕头高新技术产业开发区人力资源服务中心</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联系电话：0754-88463432  邮箱：gxgwrlzx@163.com</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表6《汕头高新区华侨青年人才、留学归国人才入驻汕头高新区国家级企业孵化器项目免租金服务申请表》</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spacing w:line="600" w:lineRule="exact"/>
        <w:rPr>
          <w:rFonts w:hint="default" w:eastAsia="方正黑体简体"/>
          <w:bCs/>
          <w:sz w:val="32"/>
          <w:szCs w:val="32"/>
          <w:lang w:val="en-US" w:eastAsia="zh-CN"/>
        </w:rPr>
      </w:pPr>
      <w:r>
        <w:rPr>
          <w:rFonts w:hint="eastAsia" w:eastAsia="方正黑体简体"/>
          <w:bCs/>
          <w:sz w:val="32"/>
          <w:szCs w:val="32"/>
          <w:lang w:val="en-US" w:eastAsia="zh-CN"/>
        </w:rPr>
        <w:t>表6</w:t>
      </w:r>
    </w:p>
    <w:p>
      <w:pPr>
        <w:spacing w:line="600" w:lineRule="exact"/>
        <w:rPr>
          <w:rFonts w:cs="宋体"/>
          <w:b/>
          <w:bCs/>
          <w:sz w:val="36"/>
          <w:szCs w:val="36"/>
        </w:rPr>
      </w:pPr>
    </w:p>
    <w:p>
      <w:pPr>
        <w:spacing w:line="600" w:lineRule="exact"/>
        <w:jc w:val="center"/>
        <w:rPr>
          <w:rFonts w:hint="eastAsia" w:eastAsia="方正小标宋简体" w:cs="宋体"/>
          <w:bCs/>
          <w:kern w:val="0"/>
          <w:sz w:val="36"/>
          <w:szCs w:val="36"/>
        </w:rPr>
      </w:pPr>
      <w:r>
        <w:rPr>
          <w:rFonts w:hint="eastAsia" w:eastAsia="方正小标宋简体" w:cs="宋体"/>
          <w:bCs/>
          <w:kern w:val="0"/>
          <w:sz w:val="36"/>
          <w:szCs w:val="36"/>
        </w:rPr>
        <w:t>汕头高新区华侨青年人才、留学归国人才入驻汕头</w:t>
      </w:r>
      <w:r>
        <w:rPr>
          <w:rFonts w:hint="eastAsia" w:eastAsia="方正小标宋简体" w:cs="宋体"/>
          <w:bCs/>
          <w:kern w:val="0"/>
          <w:sz w:val="36"/>
          <w:szCs w:val="36"/>
          <w:lang w:val="en-US" w:eastAsia="zh-CN"/>
        </w:rPr>
        <w:t xml:space="preserve">      </w:t>
      </w:r>
      <w:r>
        <w:rPr>
          <w:rFonts w:hint="eastAsia" w:eastAsia="方正小标宋简体" w:cs="宋体"/>
          <w:bCs/>
          <w:kern w:val="0"/>
          <w:sz w:val="36"/>
          <w:szCs w:val="36"/>
        </w:rPr>
        <w:t>高新区国家级企业孵化器项目免租金服务申请表</w:t>
      </w:r>
    </w:p>
    <w:p>
      <w:pPr>
        <w:spacing w:line="600" w:lineRule="exact"/>
        <w:jc w:val="center"/>
        <w:rPr>
          <w:rFonts w:hint="eastAsia" w:eastAsia="方正小标宋简体" w:cs="宋体"/>
          <w:bCs/>
          <w:kern w:val="0"/>
          <w:sz w:val="36"/>
          <w:szCs w:val="36"/>
        </w:rPr>
      </w:pPr>
    </w:p>
    <w:tbl>
      <w:tblPr>
        <w:tblStyle w:val="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305"/>
        <w:gridCol w:w="995"/>
        <w:gridCol w:w="690"/>
        <w:gridCol w:w="810"/>
        <w:gridCol w:w="165"/>
        <w:gridCol w:w="470"/>
        <w:gridCol w:w="715"/>
        <w:gridCol w:w="143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1" w:type="dxa"/>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申请人情况</w:t>
            </w:r>
          </w:p>
        </w:tc>
        <w:tc>
          <w:tcPr>
            <w:tcW w:w="130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995" w:type="dxa"/>
            <w:noWrap w:val="0"/>
            <w:vAlign w:val="center"/>
          </w:tcPr>
          <w:p>
            <w:pPr>
              <w:snapToGrid w:val="0"/>
              <w:jc w:val="center"/>
              <w:rPr>
                <w:rFonts w:hint="eastAsia" w:asciiTheme="minorEastAsia" w:hAnsiTheme="minorEastAsia" w:eastAsiaTheme="minorEastAsia" w:cstheme="minorEastAsia"/>
              </w:rPr>
            </w:pPr>
          </w:p>
        </w:tc>
        <w:tc>
          <w:tcPr>
            <w:tcW w:w="69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810" w:type="dxa"/>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1432" w:type="dxa"/>
            <w:noWrap w:val="0"/>
            <w:vAlign w:val="center"/>
          </w:tcPr>
          <w:p>
            <w:pPr>
              <w:snapToGrid w:val="0"/>
              <w:jc w:val="center"/>
              <w:rPr>
                <w:rFonts w:hint="eastAsia" w:asciiTheme="minorEastAsia" w:hAnsiTheme="minorEastAsia" w:eastAsiaTheme="minorEastAsia" w:cstheme="minorEastAsia"/>
              </w:rPr>
            </w:pPr>
          </w:p>
        </w:tc>
        <w:tc>
          <w:tcPr>
            <w:tcW w:w="1807" w:type="dxa"/>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default" w:ascii="Times New Roman" w:hAnsi="Times New Roman" w:cs="Times New Roman" w:eastAsiaTheme="minorEastAsia"/>
              </w:rPr>
              <w:t>2</w:t>
            </w:r>
            <w:r>
              <w:rPr>
                <w:rFonts w:hint="eastAsia" w:asciiTheme="minorEastAsia" w:hAnsiTheme="minorEastAsia" w:eastAsiaTheme="minorEastAsia" w:cstheme="minorEastAsia"/>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全日制学历</w:t>
            </w:r>
          </w:p>
        </w:tc>
        <w:tc>
          <w:tcPr>
            <w:tcW w:w="995" w:type="dxa"/>
            <w:noWrap w:val="0"/>
            <w:vAlign w:val="center"/>
          </w:tcPr>
          <w:p>
            <w:pPr>
              <w:snapToGrid w:val="0"/>
              <w:jc w:val="center"/>
              <w:rPr>
                <w:rFonts w:hint="eastAsia" w:asciiTheme="minorEastAsia" w:hAnsiTheme="minorEastAsia" w:eastAsiaTheme="minorEastAsia" w:cstheme="minorEastAsia"/>
              </w:rPr>
            </w:pPr>
          </w:p>
        </w:tc>
        <w:tc>
          <w:tcPr>
            <w:tcW w:w="690"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学位</w:t>
            </w:r>
          </w:p>
        </w:tc>
        <w:tc>
          <w:tcPr>
            <w:tcW w:w="810" w:type="dxa"/>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联系电话</w:t>
            </w:r>
          </w:p>
        </w:tc>
        <w:tc>
          <w:tcPr>
            <w:tcW w:w="1432" w:type="dxa"/>
            <w:noWrap w:val="0"/>
            <w:vAlign w:val="center"/>
          </w:tcPr>
          <w:p>
            <w:pPr>
              <w:snapToGrid w:val="0"/>
              <w:jc w:val="center"/>
              <w:rPr>
                <w:rFonts w:hint="eastAsia" w:asciiTheme="minorEastAsia" w:hAnsiTheme="minorEastAsia" w:eastAsiaTheme="minorEastAsia" w:cstheme="minorEastAsia"/>
              </w:rPr>
            </w:pPr>
          </w:p>
        </w:tc>
        <w:tc>
          <w:tcPr>
            <w:tcW w:w="1807" w:type="dxa"/>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毕业院校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及所学专业</w:t>
            </w:r>
          </w:p>
        </w:tc>
        <w:tc>
          <w:tcPr>
            <w:tcW w:w="2495"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highlight w:val="none"/>
                <w:lang w:eastAsia="zh-CN"/>
              </w:rPr>
              <w:t>联系邮箱</w:t>
            </w:r>
          </w:p>
        </w:tc>
        <w:tc>
          <w:tcPr>
            <w:tcW w:w="1432" w:type="dxa"/>
            <w:noWrap w:val="0"/>
            <w:vAlign w:val="center"/>
          </w:tcPr>
          <w:p>
            <w:pPr>
              <w:snapToGrid w:val="0"/>
              <w:jc w:val="center"/>
              <w:rPr>
                <w:rFonts w:hint="eastAsia" w:asciiTheme="minorEastAsia" w:hAnsiTheme="minorEastAsia" w:eastAsiaTheme="minorEastAsia" w:cstheme="minorEastAsia"/>
              </w:rPr>
            </w:pPr>
          </w:p>
        </w:tc>
        <w:tc>
          <w:tcPr>
            <w:tcW w:w="1807" w:type="dxa"/>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人才类别</w:t>
            </w:r>
          </w:p>
        </w:tc>
        <w:tc>
          <w:tcPr>
            <w:tcW w:w="2495"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2"/>
                <w:szCs w:val="22"/>
                <w:highlight w:val="none"/>
              </w:rPr>
              <w:t>华侨青年人才</w:t>
            </w:r>
          </w:p>
          <w:p>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sz w:val="24"/>
                <w:szCs w:val="24"/>
                <w:highlight w:val="none"/>
              </w:rPr>
              <w:sym w:font="Wingdings" w:char="00A8"/>
            </w:r>
            <w:r>
              <w:rPr>
                <w:rFonts w:hint="eastAsia" w:asciiTheme="minorEastAsia" w:hAnsiTheme="minorEastAsia" w:eastAsiaTheme="minorEastAsia" w:cstheme="minorEastAsia"/>
                <w:sz w:val="22"/>
                <w:szCs w:val="22"/>
                <w:highlight w:val="none"/>
              </w:rPr>
              <w:t>留学归国人才</w:t>
            </w:r>
          </w:p>
        </w:tc>
        <w:tc>
          <w:tcPr>
            <w:tcW w:w="1350" w:type="dxa"/>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证件类型</w:t>
            </w:r>
          </w:p>
        </w:tc>
        <w:tc>
          <w:tcPr>
            <w:tcW w:w="1432" w:type="dxa"/>
            <w:noWrap w:val="0"/>
            <w:vAlign w:val="center"/>
          </w:tcPr>
          <w:p>
            <w:pPr>
              <w:snapToGrid w:val="0"/>
              <w:jc w:val="center"/>
              <w:rPr>
                <w:rFonts w:hint="eastAsia" w:asciiTheme="minorEastAsia" w:hAnsiTheme="minorEastAsia" w:eastAsiaTheme="minorEastAsia" w:cstheme="minorEastAsia"/>
              </w:rPr>
            </w:pPr>
          </w:p>
        </w:tc>
        <w:tc>
          <w:tcPr>
            <w:tcW w:w="1807" w:type="dxa"/>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vMerge w:val="continue"/>
            <w:noWrap w:val="0"/>
            <w:vAlign w:val="center"/>
          </w:tcPr>
          <w:p>
            <w:pPr>
              <w:snapToGrid w:val="0"/>
              <w:jc w:val="center"/>
              <w:rPr>
                <w:rFonts w:hint="eastAsia" w:asciiTheme="minorEastAsia" w:hAnsiTheme="minorEastAsia" w:eastAsiaTheme="minorEastAsia" w:cstheme="minorEastAsia"/>
                <w:highlight w:val="none"/>
                <w:lang w:val="en-US" w:eastAsia="zh-CN"/>
              </w:rPr>
            </w:pPr>
          </w:p>
        </w:tc>
        <w:tc>
          <w:tcPr>
            <w:tcW w:w="2495" w:type="dxa"/>
            <w:gridSpan w:val="3"/>
            <w:vMerge w:val="continue"/>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证件号码</w:t>
            </w:r>
          </w:p>
        </w:tc>
        <w:tc>
          <w:tcPr>
            <w:tcW w:w="3239" w:type="dxa"/>
            <w:gridSpan w:val="2"/>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国家级企业孵化器项目名称</w:t>
            </w:r>
          </w:p>
        </w:tc>
        <w:tc>
          <w:tcPr>
            <w:tcW w:w="2495" w:type="dxa"/>
            <w:gridSpan w:val="3"/>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c>
          <w:tcPr>
            <w:tcW w:w="1350" w:type="dxa"/>
            <w:gridSpan w:val="3"/>
            <w:tcBorders>
              <w:bottom w:val="single" w:color="auto" w:sz="4" w:space="0"/>
            </w:tcBorders>
            <w:noWrap w:val="0"/>
            <w:vAlign w:val="center"/>
          </w:tcPr>
          <w:p>
            <w:pPr>
              <w:widowControl/>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18"/>
                <w:szCs w:val="18"/>
                <w:highlight w:val="none"/>
                <w:lang w:eastAsia="zh-CN"/>
              </w:rPr>
              <w:t>国家级企业孵化器项目地址</w:t>
            </w:r>
          </w:p>
        </w:tc>
        <w:tc>
          <w:tcPr>
            <w:tcW w:w="3239" w:type="dxa"/>
            <w:gridSpan w:val="2"/>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在区内企业</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初次缴交</w:t>
            </w:r>
            <w:r>
              <w:rPr>
                <w:rFonts w:hint="eastAsia" w:asciiTheme="minorEastAsia" w:hAnsiTheme="minorEastAsia" w:eastAsiaTheme="minorEastAsia" w:cstheme="minorEastAsia"/>
                <w:sz w:val="21"/>
                <w:szCs w:val="21"/>
                <w:highlight w:val="none"/>
              </w:rPr>
              <w:t>社</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保起始时间</w:t>
            </w:r>
          </w:p>
        </w:tc>
        <w:tc>
          <w:tcPr>
            <w:tcW w:w="2495"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年</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月    日</w:t>
            </w:r>
          </w:p>
        </w:tc>
        <w:tc>
          <w:tcPr>
            <w:tcW w:w="1350"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lang w:val="en-US" w:eastAsia="zh-CN"/>
              </w:rPr>
              <w:t>在区内企业连续缴交社会保险期限</w:t>
            </w:r>
          </w:p>
        </w:tc>
        <w:tc>
          <w:tcPr>
            <w:tcW w:w="3239" w:type="dxa"/>
            <w:gridSpan w:val="2"/>
            <w:tcBorders>
              <w:bottom w:val="single" w:color="auto" w:sz="4" w:space="0"/>
            </w:tcBorders>
            <w:noWrap w:val="0"/>
            <w:vAlign w:val="center"/>
          </w:tcPr>
          <w:p>
            <w:pPr>
              <w:widowControl/>
              <w:ind w:firstLine="210" w:firstLineChars="1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kern w:val="2"/>
                <w:sz w:val="21"/>
                <w:szCs w:val="24"/>
                <w:highlight w:val="none"/>
                <w:lang w:val="en-US" w:eastAsia="zh-CN" w:bidi="ar-SA"/>
              </w:rPr>
            </w:pPr>
            <w:r>
              <w:rPr>
                <w:rFonts w:hint="eastAsia" w:asciiTheme="minorEastAsia" w:hAnsiTheme="minorEastAsia" w:eastAsiaTheme="minorEastAsia" w:cstheme="minorEastAsia"/>
                <w:highlight w:val="none"/>
                <w:lang w:val="en-US"/>
              </w:rPr>
              <w:t>劳动合同</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val="en-US"/>
              </w:rPr>
              <w:t>起止时间</w:t>
            </w:r>
            <w:r>
              <w:rPr>
                <w:rFonts w:hint="eastAsia" w:asciiTheme="minorEastAsia" w:hAnsiTheme="minorEastAsia" w:eastAsiaTheme="minorEastAsia" w:cstheme="minorEastAsia"/>
                <w:highlight w:val="none"/>
              </w:rPr>
              <w:t xml:space="preserve">              </w:t>
            </w:r>
          </w:p>
        </w:tc>
        <w:tc>
          <w:tcPr>
            <w:tcW w:w="7084" w:type="dxa"/>
            <w:gridSpan w:val="8"/>
            <w:noWrap w:val="0"/>
            <w:vAlign w:val="center"/>
          </w:tcPr>
          <w:p>
            <w:pPr>
              <w:snapToGrid w:val="0"/>
              <w:ind w:firstLine="1260" w:firstLineChars="60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rPr>
              <w:t xml:space="preserve"> 年</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日</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至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年</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月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开户名    </w:t>
            </w:r>
          </w:p>
        </w:tc>
        <w:tc>
          <w:tcPr>
            <w:tcW w:w="2495"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350" w:type="dxa"/>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开户</w:t>
            </w:r>
            <w:r>
              <w:rPr>
                <w:rFonts w:hint="eastAsia" w:asciiTheme="minorEastAsia" w:hAnsiTheme="minorEastAsia" w:eastAsiaTheme="minorEastAsia" w:cstheme="minorEastAsia"/>
                <w:lang w:eastAsia="zh-CN"/>
              </w:rPr>
              <w:t>行名称</w:t>
            </w:r>
          </w:p>
        </w:tc>
        <w:tc>
          <w:tcPr>
            <w:tcW w:w="3239" w:type="dxa"/>
            <w:gridSpan w:val="2"/>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1" w:type="dxa"/>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305" w:type="dxa"/>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w:t>
            </w:r>
          </w:p>
        </w:tc>
        <w:tc>
          <w:tcPr>
            <w:tcW w:w="7084" w:type="dxa"/>
            <w:gridSpan w:val="8"/>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71" w:type="dxa"/>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1305" w:type="dxa"/>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7084" w:type="dxa"/>
            <w:gridSpan w:val="8"/>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2495"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3239" w:type="dxa"/>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信用代码</w:t>
            </w:r>
          </w:p>
        </w:tc>
        <w:tc>
          <w:tcPr>
            <w:tcW w:w="2495"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3239" w:type="dxa"/>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账户名称</w:t>
            </w:r>
          </w:p>
        </w:tc>
        <w:tc>
          <w:tcPr>
            <w:tcW w:w="2495"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开户银行</w:t>
            </w:r>
          </w:p>
        </w:tc>
        <w:tc>
          <w:tcPr>
            <w:tcW w:w="3239" w:type="dxa"/>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71" w:type="dxa"/>
            <w:vMerge w:val="continue"/>
            <w:noWrap w:val="0"/>
            <w:vAlign w:val="center"/>
          </w:tcPr>
          <w:p>
            <w:pPr>
              <w:snapToGrid w:val="0"/>
              <w:jc w:val="center"/>
              <w:rPr>
                <w:rFonts w:hint="eastAsia" w:asciiTheme="minorEastAsia" w:hAnsiTheme="minorEastAsia" w:eastAsiaTheme="minorEastAsia" w:cstheme="minorEastAsia"/>
              </w:rPr>
            </w:pPr>
          </w:p>
        </w:tc>
        <w:tc>
          <w:tcPr>
            <w:tcW w:w="1305" w:type="dxa"/>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账户号码</w:t>
            </w:r>
          </w:p>
        </w:tc>
        <w:tc>
          <w:tcPr>
            <w:tcW w:w="2495" w:type="dxa"/>
            <w:gridSpan w:val="3"/>
            <w:noWrap w:val="0"/>
            <w:vAlign w:val="center"/>
          </w:tcPr>
          <w:p>
            <w:pPr>
              <w:snapToGrid w:val="0"/>
              <w:jc w:val="center"/>
              <w:rPr>
                <w:rFonts w:hint="eastAsia" w:asciiTheme="minorEastAsia" w:hAnsiTheme="minorEastAsia" w:eastAsiaTheme="minorEastAsia" w:cstheme="minorEastAsia"/>
              </w:rPr>
            </w:pPr>
          </w:p>
        </w:tc>
        <w:tc>
          <w:tcPr>
            <w:tcW w:w="1350" w:type="dxa"/>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基本存款</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账户编号</w:t>
            </w:r>
          </w:p>
        </w:tc>
        <w:tc>
          <w:tcPr>
            <w:tcW w:w="3239" w:type="dxa"/>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471"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本人</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承诺</w:t>
            </w:r>
          </w:p>
        </w:tc>
        <w:tc>
          <w:tcPr>
            <w:tcW w:w="8389" w:type="dxa"/>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本人承诺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所填信息和提交的申报材料真实有效，如出现信息虚假、重复申领等情形，自愿承担一切后果及相关法律责任。</w:t>
            </w:r>
          </w:p>
          <w:p>
            <w:pPr>
              <w:snapToGrid w:val="0"/>
              <w:spacing w:line="360" w:lineRule="auto"/>
              <w:rPr>
                <w:rFonts w:hint="eastAsia" w:asciiTheme="minorEastAsia" w:hAnsiTheme="minorEastAsia" w:eastAsiaTheme="minorEastAsia" w:cstheme="minorEastAsia"/>
                <w:bCs/>
                <w:kern w:val="0"/>
                <w:lang w:val="en-US" w:eastAsia="zh-CN"/>
              </w:rPr>
            </w:pPr>
          </w:p>
          <w:p>
            <w:pPr>
              <w:snapToGrid w:val="0"/>
              <w:spacing w:line="360" w:lineRule="auto"/>
              <w:rPr>
                <w:rFonts w:hint="eastAsia" w:asciiTheme="minorEastAsia" w:hAnsiTheme="minorEastAsia" w:eastAsiaTheme="minorEastAsia" w:cstheme="minorEastAsia"/>
                <w:bCs/>
                <w:kern w:val="0"/>
              </w:rPr>
            </w:pP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申请人</w:t>
            </w:r>
            <w:r>
              <w:rPr>
                <w:rFonts w:hint="eastAsia" w:asciiTheme="minorEastAsia" w:hAnsiTheme="minorEastAsia" w:eastAsiaTheme="minorEastAsia" w:cstheme="minorEastAsia"/>
              </w:rPr>
              <w:t>：</w:t>
            </w:r>
          </w:p>
          <w:p>
            <w:pPr>
              <w:snapToGrid w:val="0"/>
              <w:ind w:firstLine="5460" w:firstLineChars="26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471"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所在企业申报意见</w:t>
            </w:r>
          </w:p>
        </w:tc>
        <w:tc>
          <w:tcPr>
            <w:tcW w:w="8389" w:type="dxa"/>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tabs>
                <w:tab w:val="left" w:pos="6285"/>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经审核，相关信息和提交的申报材料真实有效，同意申报。</w:t>
            </w: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bCs/>
                <w:kern w:val="0"/>
                <w:lang w:eastAsia="zh-CN"/>
              </w:rPr>
            </w:pP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471"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3965" w:type="dxa"/>
            <w:gridSpan w:val="5"/>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14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》有关规定，拟同意申请人入驻汕头高新区国家级企业孵化器的项目，按照高新区现有孵化基地管理办法提供一定年限免租金服务。</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单</w:t>
            </w:r>
            <w:r>
              <w:rPr>
                <w:rFonts w:hint="eastAsia" w:asciiTheme="minorEastAsia" w:hAnsiTheme="minorEastAsia" w:eastAsiaTheme="minorEastAsia" w:cstheme="minorEastAsia"/>
              </w:rPr>
              <w:t>位盖章：</w:t>
            </w:r>
          </w:p>
          <w:p>
            <w:pPr>
              <w:snapToGrid w:val="0"/>
              <w:ind w:firstLine="5250" w:firstLineChars="2500"/>
              <w:rPr>
                <w:rFonts w:hint="eastAsia" w:asciiTheme="minorEastAsia" w:hAnsiTheme="minorEastAsia" w:eastAsiaTheme="minorEastAsia" w:cstheme="minorEastAsia"/>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c>
          <w:tcPr>
            <w:tcW w:w="470" w:type="dxa"/>
            <w:tcBorders>
              <w:top w:val="single" w:color="auto" w:sz="4" w:space="0"/>
              <w:bottom w:val="single" w:color="auto" w:sz="4" w:space="0"/>
              <w:right w:val="single" w:color="auto" w:sz="4" w:space="0"/>
            </w:tcBorders>
            <w:noWrap w:val="0"/>
            <w:vAlign w:val="center"/>
          </w:tcPr>
          <w:p>
            <w:pPr>
              <w:snapToGrid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区产业与科技服务中心审核意见</w:t>
            </w:r>
          </w:p>
        </w:tc>
        <w:tc>
          <w:tcPr>
            <w:tcW w:w="3954" w:type="dxa"/>
            <w:gridSpan w:val="3"/>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14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》有关规定，拟同意申请人入驻汕头高新区国家级企业孵化器的项目，按照高新区现有孵化基地管理办法提供一定年限免租金服务。</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单</w:t>
            </w:r>
            <w:r>
              <w:rPr>
                <w:rFonts w:hint="eastAsia" w:asciiTheme="minorEastAsia" w:hAnsiTheme="minorEastAsia" w:eastAsiaTheme="minorEastAsia" w:cstheme="minorEastAsia"/>
              </w:rPr>
              <w:t>位盖章：</w:t>
            </w:r>
          </w:p>
          <w:p>
            <w:pPr>
              <w:snapToGrid w:val="0"/>
              <w:ind w:firstLine="5250" w:firstLineChars="2500"/>
              <w:rPr>
                <w:rFonts w:hint="eastAsia" w:asciiTheme="minorEastAsia" w:hAnsiTheme="minorEastAsia" w:eastAsiaTheme="minorEastAsia" w:cstheme="minorEastAsia"/>
              </w:rPr>
            </w:pP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471" w:type="dxa"/>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8389" w:type="dxa"/>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w:t>
            </w:r>
            <w:r>
              <w:rPr>
                <w:rFonts w:hint="eastAsia" w:asciiTheme="minorEastAsia" w:hAnsiTheme="minorEastAsia" w:eastAsiaTheme="minorEastAsia" w:cstheme="minorEastAsia"/>
                <w:lang w:val="en-US" w:eastAsia="zh-CN"/>
              </w:rPr>
              <w:t>审批，同意申请人入驻汕头高新区国家级企业孵化器的项目，按照高新区现有孵化基地管理办法提供一定年限免租金服务。</w:t>
            </w:r>
          </w:p>
          <w:p>
            <w:pPr>
              <w:tabs>
                <w:tab w:val="left" w:pos="5299"/>
              </w:tabs>
              <w:snapToGrid w:val="0"/>
              <w:spacing w:line="360" w:lineRule="auto"/>
              <w:ind w:right="420"/>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left="5040" w:leftChars="24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rPr>
              <w:t>单位盖章：</w:t>
            </w:r>
          </w:p>
          <w:p>
            <w:pPr>
              <w:snapToGrid w:val="0"/>
              <w:ind w:firstLine="5040" w:firstLineChars="24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bl>
    <w:p>
      <w:pPr>
        <w:ind w:firstLine="210" w:firstLineChars="100"/>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05485"/>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40187"/>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