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526" w:type="dxa"/>
        <w:jc w:val="center"/>
        <w:tblLayout w:type="fixed"/>
        <w:tblCellMar>
          <w:top w:w="0" w:type="dxa"/>
          <w:left w:w="108" w:type="dxa"/>
          <w:bottom w:w="0" w:type="dxa"/>
          <w:right w:w="108" w:type="dxa"/>
        </w:tblCellMar>
      </w:tblPr>
      <w:tblGrid>
        <w:gridCol w:w="9526"/>
      </w:tblGrid>
      <w:tr>
        <w:tblPrEx>
          <w:tblCellMar>
            <w:top w:w="0" w:type="dxa"/>
            <w:left w:w="108" w:type="dxa"/>
            <w:bottom w:w="0" w:type="dxa"/>
            <w:right w:w="108" w:type="dxa"/>
          </w:tblCellMar>
        </w:tblPrEx>
        <w:trPr>
          <w:jc w:val="center"/>
        </w:trPr>
        <w:tc>
          <w:tcPr>
            <w:tcW w:w="9526" w:type="dxa"/>
            <w:tcBorders>
              <w:top w:val="single" w:color="000000" w:sz="12" w:space="0"/>
              <w:left w:val="single" w:color="000000" w:sz="12" w:space="0"/>
              <w:bottom w:val="single" w:color="000000" w:sz="12" w:space="0"/>
              <w:right w:val="single" w:color="000000" w:sz="12" w:space="0"/>
            </w:tcBorders>
            <w:tcMar>
              <w:top w:w="0" w:type="dxa"/>
              <w:left w:w="28" w:type="dxa"/>
              <w:bottom w:w="0" w:type="dxa"/>
              <w:right w:w="28" w:type="dxa"/>
            </w:tcMar>
          </w:tcPr>
          <w:p>
            <w:pPr>
              <w:spacing w:line="340" w:lineRule="exact"/>
              <w:ind w:firstLine="422"/>
              <w:rPr>
                <w:rFonts w:asciiTheme="minorEastAsia" w:hAnsiTheme="minorEastAsia" w:eastAsiaTheme="minorEastAsia"/>
                <w:sz w:val="21"/>
                <w:szCs w:val="21"/>
              </w:rPr>
            </w:pPr>
            <w:r>
              <w:rPr>
                <w:rFonts w:asciiTheme="minorEastAsia" w:hAnsiTheme="minorEastAsia" w:eastAsiaTheme="minorEastAsia"/>
                <w:b/>
                <w:bCs/>
                <w:sz w:val="21"/>
                <w:szCs w:val="21"/>
              </w:rPr>
              <w:t>审批意见：</w:t>
            </w:r>
          </w:p>
          <w:p>
            <w:pPr>
              <w:spacing w:line="320" w:lineRule="exact"/>
              <w:ind w:firstLine="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根据深圳市国寰环保科技发展有限公司出具的技术评估意见，从环境保护角度原则同意汕头市东海岸新城龙昇加油站及配套综合楼项目的建设。</w:t>
            </w:r>
          </w:p>
          <w:p>
            <w:pPr>
              <w:spacing w:line="320" w:lineRule="exact"/>
              <w:ind w:firstLine="42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一、项目施工期应做好以下环境保护工作：</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rPr>
              <w:t>（1）在工地周围应当设置连续、密闭的围挡，地面、车行道路进行硬化等降尘处理；在建筑装饰装修使用符合环保要求的水性或低挥发性建筑涂料、木器漆和胶粘剂，逐步减少有机溶剂型涂料的使用等措施防止施工期间产生的大气污染物对周边大气环境产生影响。（2）施工期生活污经三级化粪池处理后，排入汕头市龙珠水质净化厂处理；施工期废水经隔油沉沙预处理后回用于施工。（3）</w:t>
            </w:r>
            <w:r>
              <w:rPr>
                <w:rFonts w:hint="eastAsia" w:asciiTheme="minorEastAsia" w:hAnsiTheme="minorEastAsia" w:eastAsiaTheme="minorEastAsia" w:cstheme="minorEastAsia"/>
                <w:color w:val="000000"/>
                <w:sz w:val="21"/>
                <w:szCs w:val="21"/>
                <w:lang w:val="en-US" w:eastAsia="zh-CN"/>
              </w:rPr>
              <w:t>合理安排施工计划和施工机械设备组合，严禁在22：00-7：00之间施工，避免在同一时间内集中使用大量的动力机械设备，并在施工过程中采取尽量减少运行动力机械设备的数目，并尽量将机动设备及施工活动安排在远离敏感区一侧等噪声控制措施。</w:t>
            </w:r>
            <w:r>
              <w:rPr>
                <w:rFonts w:hint="eastAsia" w:asciiTheme="minorEastAsia" w:hAnsiTheme="minorEastAsia" w:eastAsiaTheme="minorEastAsia" w:cstheme="minorEastAsia"/>
                <w:color w:val="000000"/>
                <w:sz w:val="21"/>
                <w:szCs w:val="21"/>
              </w:rPr>
              <w:t>（4）</w:t>
            </w:r>
            <w:r>
              <w:rPr>
                <w:rFonts w:hint="eastAsia" w:asciiTheme="minorEastAsia" w:hAnsiTheme="minorEastAsia" w:eastAsiaTheme="minorEastAsia" w:cstheme="minorEastAsia"/>
                <w:color w:val="000000"/>
                <w:sz w:val="21"/>
                <w:szCs w:val="21"/>
                <w:lang w:val="en-US" w:eastAsia="zh-CN"/>
              </w:rPr>
              <w:t>对于施工期产生的固体废物，建设单位需按指定地点临时存放，由专门的运输车辆将建筑垃圾和废弃土石方运往相关部门指定受纳点处置，通过采取上述措施后项目施工产生的固体废物不会对周围的环境产生明显的影响。</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二、项目营运期应做好以下环境保护工作：</w:t>
            </w:r>
          </w:p>
          <w:p>
            <w:pPr>
              <w:keepNext w:val="0"/>
              <w:keepLines w:val="0"/>
              <w:pageBreakBefore w:val="0"/>
              <w:widowControl w:val="0"/>
              <w:kinsoku/>
              <w:wordWrap/>
              <w:overflowPunct/>
              <w:topLinePunct w:val="0"/>
              <w:autoSpaceDE/>
              <w:autoSpaceDN/>
              <w:bidi w:val="0"/>
              <w:adjustRightInd/>
              <w:snapToGrid/>
              <w:spacing w:line="360" w:lineRule="exact"/>
              <w:ind w:firstLine="629"/>
              <w:jc w:val="both"/>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（1）对于项目产生的烃类有机废气，配套二次</w:t>
            </w:r>
            <w:r>
              <w:rPr>
                <w:rFonts w:hint="eastAsia" w:asciiTheme="minorEastAsia" w:hAnsiTheme="minorEastAsia" w:eastAsiaTheme="minorEastAsia" w:cstheme="minorEastAsia"/>
                <w:color w:val="000000"/>
                <w:sz w:val="21"/>
                <w:szCs w:val="21"/>
                <w:highlight w:val="none"/>
                <w:lang w:val="en-US" w:eastAsia="zh-CN"/>
              </w:rPr>
              <w:t>油气回收系统，对卸油过程和加油作业过程逸散的烃类废气进行处理，回流至储油罐；加油站汽油系统卸油、加油或温度变化致使储油罐压力升高，储油罐“大小呼吸”导致的含非甲烷总烃气体经储油罐10m高的DA001放空管排出，其排放可以达到《加油站大气污染物排放标准》（GB20952-2020）标准排放限值；厂界无组织排放可以达到《挥发性有机物无组织排放控制标准》（GB37822-2019）中表A.1厂区内VOCs无组织排放特别限值。项目运营</w:t>
            </w:r>
            <w:r>
              <w:rPr>
                <w:rFonts w:hint="eastAsia" w:asciiTheme="minorEastAsia" w:hAnsiTheme="minorEastAsia" w:eastAsiaTheme="minorEastAsia" w:cstheme="minorEastAsia"/>
                <w:color w:val="000000"/>
                <w:sz w:val="21"/>
                <w:szCs w:val="21"/>
                <w:lang w:val="en-US" w:eastAsia="zh-CN"/>
              </w:rPr>
              <w:t>期食堂油烟经配套的静电油烟净化器处理，处理达到《饮食业油烟排放标准》(GB18483-2001)中的标准限值后引高经DA002排气筒排放。对于进入加油站的机动车则采取加强车辆管理和项目厂界周边的绿化等措施减少大气污染物的影响</w:t>
            </w:r>
            <w:r>
              <w:rPr>
                <w:rFonts w:hint="eastAsia" w:asciiTheme="minorEastAsia" w:hAnsiTheme="minorEastAsia" w:eastAsiaTheme="minorEastAsia" w:cstheme="minorEastAsia"/>
                <w:color w:val="000000"/>
                <w:kern w:val="2"/>
                <w:sz w:val="21"/>
                <w:szCs w:val="21"/>
                <w:lang w:val="en-US" w:eastAsia="zh-CN" w:bidi="ar-SA"/>
              </w:rPr>
              <w:t>。（2）水污染防治措施：包括生活污水、地面冲洗废水、初期雨水和清罐废水；生活污水排放量共计270m3/a，地面冲洗废水排放量为77.5m3/a，初期雨水排放量为369.2m3/a，清罐废水排放量为3.6m3/次。生活废水经隔油池+化粪池预处理，地面清洗废水、初期雨水经隔油沉砂池沉淀预处理后，可达到广东省地方标准《水污染物排放限值》（DB44/26-2001）第二时段三级标准及汕头市龙珠水质净化厂进水水质要求的较严者，再通过市政污水管网排入汕头市龙珠水质净化厂处理。项目运营期约3年进行一次</w:t>
            </w:r>
            <w:r>
              <w:rPr>
                <w:rFonts w:hint="eastAsia" w:asciiTheme="minorEastAsia" w:hAnsiTheme="minorEastAsia" w:eastAsiaTheme="minorEastAsia" w:cstheme="minorEastAsia"/>
                <w:color w:val="000000"/>
                <w:sz w:val="21"/>
                <w:szCs w:val="21"/>
                <w:highlight w:val="none"/>
                <w:lang w:val="en-US" w:eastAsia="zh-CN"/>
              </w:rPr>
              <w:t>清罐，产生的清罐废水量约为3.6m3/次，这部分废水收集后交由清罐作业公司进行专业处理，不外排。（3）项目建设完成后，采取降噪措施、加强操作管理等措施，降低其对周围环境的影响。（4）项目运营过程产生的固体废物主要包括危险废物和生活垃圾。危险废物主要是含油废抹布和手套、隔油沉砂池废油脂、油罐清理后产生的废油脂等；另外，还有员工办公生活垃圾。危险废物经分类暂存于危废暂存间，定期交由有处理资质的单位妥善处置；生活垃圾交由环卫部门处理；最终达到固体废物的零排放。</w:t>
            </w:r>
            <w:bookmarkStart w:id="0" w:name="_GoBack"/>
            <w:bookmarkEnd w:id="0"/>
            <w:r>
              <w:rPr>
                <w:rFonts w:hint="eastAsia" w:asciiTheme="minorEastAsia" w:hAnsiTheme="minorEastAsia" w:eastAsiaTheme="minorEastAsia" w:cstheme="minorEastAsia"/>
                <w:color w:val="000000"/>
                <w:sz w:val="21"/>
                <w:szCs w:val="21"/>
                <w:highlight w:val="none"/>
                <w:lang w:val="en-US" w:eastAsia="zh-CN"/>
              </w:rPr>
              <w:t>（5）项目在源头防控措施采取双层储油罐、双层管道；三级化粪池、隔油沉砂池和危废暂存间采取防渗措施。站区采取“分区防渗”方案，储油罐区、隔油沉砂池、三级化粪池、</w:t>
            </w:r>
            <w:r>
              <w:rPr>
                <w:rFonts w:hint="eastAsia" w:asciiTheme="minorEastAsia" w:hAnsiTheme="minorEastAsia" w:eastAsiaTheme="minorEastAsia" w:cstheme="minorEastAsia"/>
                <w:color w:val="000000"/>
                <w:sz w:val="21"/>
                <w:szCs w:val="21"/>
                <w:lang w:val="en-US" w:eastAsia="zh-CN"/>
              </w:rPr>
              <w:t>危废暂存间所在区域采取一般防渗措施，加油站其他区域地面、截水沟采取简单防渗措施，加油站渗漏检测采用在线监测系统后，可防止对土壤和地下水产生影响。</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三、项目营运期执行如下标准：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eastAsia="宋体" w:asciiTheme="minorEastAsia" w:hAnsi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项目边界噪声排放执行《声环境质量标准》（GB3095-2008）中的2类标准要求。项目大气污染物排放执行《储油库大气污染物排放标准》（GB20950-2020）、《油品运输大气污染物排放标准》（GB20951-2020）、《加油站大气污染物排放标准》（GB20952-2020）标准。项目危险废物暂存执行《危险废物贮存污染控制标准》（GB18597-2001）及其2013年修改单、《危险废物收集、贮存、运输技术规范》（HJ2025-2012）中规定的收集、贮存污染控制要求。项目废水污染物排放执行</w:t>
            </w:r>
            <w:r>
              <w:rPr>
                <w:rFonts w:ascii="Times New Roman" w:hAnsi="Times New Roman" w:eastAsia="宋体"/>
                <w:sz w:val="21"/>
                <w:szCs w:val="21"/>
              </w:rPr>
              <w:t>广东省《水污染物排放限值》（DB44/26-2001）</w:t>
            </w:r>
            <w:r>
              <w:rPr>
                <w:rFonts w:hint="eastAsia" w:asciiTheme="minorEastAsia" w:hAnsiTheme="minorEastAsia" w:eastAsiaTheme="minorEastAsia" w:cstheme="minorEastAsia"/>
                <w:color w:val="000000"/>
                <w:sz w:val="21"/>
                <w:szCs w:val="21"/>
                <w:lang w:val="en-US" w:eastAsia="zh-CN"/>
              </w:rPr>
              <w:t>第二时段三级标准。</w:t>
            </w:r>
          </w:p>
          <w:p>
            <w:pPr>
              <w:spacing w:line="320" w:lineRule="exact"/>
              <w:ind w:firstLine="42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color w:val="000000"/>
                <w:sz w:val="21"/>
                <w:szCs w:val="21"/>
              </w:rPr>
              <w:t>本意见抄送汕头市生态环境保护综合执法局龙湖分局，</w:t>
            </w:r>
            <w:r>
              <w:rPr>
                <w:rFonts w:hint="eastAsia" w:asciiTheme="minorEastAsia" w:hAnsiTheme="minorEastAsia" w:eastAsiaTheme="minorEastAsia" w:cstheme="minorEastAsia"/>
                <w:color w:val="000000"/>
                <w:sz w:val="21"/>
                <w:szCs w:val="21"/>
              </w:rPr>
              <w:t xml:space="preserve">项目的环境监察工作由汕头市生态环境保护综合执法局龙湖分局负责。 </w:t>
            </w:r>
            <w:r>
              <w:rPr>
                <w:rFonts w:hint="eastAsia" w:asciiTheme="minorEastAsia" w:hAnsiTheme="minorEastAsia" w:eastAsiaTheme="minorEastAsia" w:cstheme="minorEastAsia"/>
                <w:sz w:val="21"/>
                <w:szCs w:val="21"/>
              </w:rPr>
              <w:t xml:space="preserve">                              </w:t>
            </w:r>
          </w:p>
          <w:p>
            <w:pPr>
              <w:spacing w:line="340" w:lineRule="exact"/>
              <w:ind w:firstLine="42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公  章</w:t>
            </w:r>
          </w:p>
          <w:p>
            <w:pPr>
              <w:spacing w:line="340" w:lineRule="exact"/>
              <w:ind w:firstLine="0" w:firstLineChars="0"/>
              <w:rPr>
                <w:spacing w:val="6"/>
                <w:sz w:val="28"/>
                <w:szCs w:val="28"/>
              </w:rPr>
            </w:pPr>
            <w:r>
              <w:rPr>
                <w:rFonts w:hint="eastAsia" w:asciiTheme="minorEastAsia" w:hAnsiTheme="minorEastAsia" w:eastAsiaTheme="minorEastAsia" w:cstheme="minorEastAsia"/>
                <w:sz w:val="21"/>
                <w:szCs w:val="21"/>
              </w:rPr>
              <w:t>经办人：                                                                 202</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日</w:t>
            </w:r>
          </w:p>
        </w:tc>
      </w:tr>
      <w:tr>
        <w:tblPrEx>
          <w:tblCellMar>
            <w:top w:w="0" w:type="dxa"/>
            <w:left w:w="108" w:type="dxa"/>
            <w:bottom w:w="0" w:type="dxa"/>
            <w:right w:w="108" w:type="dxa"/>
          </w:tblCellMar>
        </w:tblPrEx>
        <w:trPr>
          <w:jc w:val="center"/>
        </w:trPr>
        <w:tc>
          <w:tcPr>
            <w:tcW w:w="9526" w:type="dxa"/>
            <w:tcBorders>
              <w:top w:val="single" w:color="000000" w:sz="12" w:space="0"/>
              <w:left w:val="single" w:color="000000" w:sz="12" w:space="0"/>
              <w:bottom w:val="single" w:color="000000" w:sz="12" w:space="0"/>
              <w:right w:val="single" w:color="000000" w:sz="12" w:space="0"/>
            </w:tcBorders>
            <w:tcMar>
              <w:top w:w="0" w:type="dxa"/>
              <w:left w:w="28" w:type="dxa"/>
              <w:bottom w:w="0" w:type="dxa"/>
              <w:right w:w="28" w:type="dxa"/>
            </w:tcMar>
          </w:tcPr>
          <w:p>
            <w:pPr>
              <w:spacing w:line="320" w:lineRule="exact"/>
              <w:ind w:firstLine="422"/>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注意事项：</w:t>
            </w:r>
          </w:p>
          <w:p>
            <w:pPr>
              <w:spacing w:line="32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1、在项目建成后，建设单位需在规定时间内按相关要求开展建设项目竣工环境保护验收工作；</w:t>
            </w:r>
          </w:p>
          <w:p>
            <w:pPr>
              <w:spacing w:line="32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2、有土建工程的项目，应在土建施工前到市生态环境局办理建筑施工排污申报登记和缴交建筑施工排污费等手续；</w:t>
            </w:r>
          </w:p>
          <w:p>
            <w:pPr>
              <w:spacing w:line="340" w:lineRule="exact"/>
              <w:ind w:firstLine="420"/>
              <w:rPr>
                <w:sz w:val="28"/>
                <w:szCs w:val="28"/>
              </w:rPr>
            </w:pPr>
            <w:r>
              <w:rPr>
                <w:rFonts w:hint="eastAsia" w:asciiTheme="minorEastAsia" w:hAnsiTheme="minorEastAsia" w:eastAsiaTheme="minorEastAsia" w:cstheme="minorEastAsia"/>
                <w:sz w:val="21"/>
                <w:szCs w:val="21"/>
              </w:rPr>
              <w:t>3、逾期不开展竣工环保验收工作，或不办理建筑施工排污申报和缴交排污费，生态环境部门将依照环境保护法律法规进行处理。</w:t>
            </w:r>
          </w:p>
        </w:tc>
      </w:tr>
    </w:tbl>
    <w:p>
      <w:pPr>
        <w:spacing w:line="200" w:lineRule="exact"/>
        <w:ind w:firstLine="0" w:firstLineChars="0"/>
      </w:pPr>
    </w:p>
    <w:sectPr>
      <w:headerReference r:id="rId7" w:type="first"/>
      <w:footerReference r:id="rId10" w:type="first"/>
      <w:headerReference r:id="rId5" w:type="default"/>
      <w:footerReference r:id="rId8" w:type="default"/>
      <w:headerReference r:id="rId6" w:type="even"/>
      <w:footerReference r:id="rId9" w:type="even"/>
      <w:pgSz w:w="11906" w:h="16838"/>
      <w:pgMar w:top="1134" w:right="1134" w:bottom="1134" w:left="1134"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ascii="Times New Roman" w:hAnsi="Times New Roman" w:cs="Times New Roman"/>
        <w:sz w:val="21"/>
        <w:szCs w:val="21"/>
      </w:rPr>
    </w:pPr>
    <w:r>
      <w:rPr>
        <w:sz w:val="21"/>
      </w:rPr>
      <w:pict>
        <v:shape id="_x0000_s4099" o:spid="_x0000_s409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p>
  <w:p>
    <w:pPr>
      <w:pStyle w:val="3"/>
      <w:jc w:val="both"/>
      <w:rPr>
        <w:rFonts w:ascii="Times New Roman" w:hAnsi="Times New Roman" w:cs="Times New Roman"/>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8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U3NGE5ZDY2YjFiMTA3ZWJjNmIzODdiNWRkNWU4ZmMifQ=="/>
  </w:docVars>
  <w:rsids>
    <w:rsidRoot w:val="00BA2832"/>
    <w:rsid w:val="000120D2"/>
    <w:rsid w:val="00017838"/>
    <w:rsid w:val="00026DFD"/>
    <w:rsid w:val="00083264"/>
    <w:rsid w:val="00104971"/>
    <w:rsid w:val="00133408"/>
    <w:rsid w:val="00191F7A"/>
    <w:rsid w:val="001E2667"/>
    <w:rsid w:val="001E31CC"/>
    <w:rsid w:val="001E7676"/>
    <w:rsid w:val="001F0B1E"/>
    <w:rsid w:val="00210DAB"/>
    <w:rsid w:val="002472B0"/>
    <w:rsid w:val="0025561A"/>
    <w:rsid w:val="002664A5"/>
    <w:rsid w:val="00270472"/>
    <w:rsid w:val="00271AF4"/>
    <w:rsid w:val="00276B2D"/>
    <w:rsid w:val="00295785"/>
    <w:rsid w:val="00296C0B"/>
    <w:rsid w:val="002A1EEA"/>
    <w:rsid w:val="002A4A6C"/>
    <w:rsid w:val="002D04F7"/>
    <w:rsid w:val="002E08D1"/>
    <w:rsid w:val="002E13D5"/>
    <w:rsid w:val="002E494F"/>
    <w:rsid w:val="002F02C7"/>
    <w:rsid w:val="003103DE"/>
    <w:rsid w:val="00366902"/>
    <w:rsid w:val="00374A98"/>
    <w:rsid w:val="00384F11"/>
    <w:rsid w:val="00393FAD"/>
    <w:rsid w:val="003953FB"/>
    <w:rsid w:val="003C067A"/>
    <w:rsid w:val="003C5E4F"/>
    <w:rsid w:val="003D40F6"/>
    <w:rsid w:val="003D4142"/>
    <w:rsid w:val="003E1CF4"/>
    <w:rsid w:val="00446179"/>
    <w:rsid w:val="0048455C"/>
    <w:rsid w:val="00495C9F"/>
    <w:rsid w:val="004A60B3"/>
    <w:rsid w:val="004D3239"/>
    <w:rsid w:val="004D74EF"/>
    <w:rsid w:val="005226A4"/>
    <w:rsid w:val="005763F4"/>
    <w:rsid w:val="005B4631"/>
    <w:rsid w:val="005F59D8"/>
    <w:rsid w:val="00606D1D"/>
    <w:rsid w:val="006224EF"/>
    <w:rsid w:val="0067095A"/>
    <w:rsid w:val="00695EDF"/>
    <w:rsid w:val="006D73D3"/>
    <w:rsid w:val="006D777F"/>
    <w:rsid w:val="006E3A4E"/>
    <w:rsid w:val="00706844"/>
    <w:rsid w:val="00710036"/>
    <w:rsid w:val="00711ED0"/>
    <w:rsid w:val="00721009"/>
    <w:rsid w:val="0072169D"/>
    <w:rsid w:val="007333CA"/>
    <w:rsid w:val="00734025"/>
    <w:rsid w:val="00736D16"/>
    <w:rsid w:val="00744471"/>
    <w:rsid w:val="00755269"/>
    <w:rsid w:val="00776B49"/>
    <w:rsid w:val="0079085E"/>
    <w:rsid w:val="00791BFD"/>
    <w:rsid w:val="007964B8"/>
    <w:rsid w:val="007B5C99"/>
    <w:rsid w:val="007C37AC"/>
    <w:rsid w:val="007C78F0"/>
    <w:rsid w:val="007E650C"/>
    <w:rsid w:val="007F2A55"/>
    <w:rsid w:val="00841A68"/>
    <w:rsid w:val="00862BA6"/>
    <w:rsid w:val="00875294"/>
    <w:rsid w:val="00881224"/>
    <w:rsid w:val="008846D3"/>
    <w:rsid w:val="00897AE6"/>
    <w:rsid w:val="008A7650"/>
    <w:rsid w:val="008B0051"/>
    <w:rsid w:val="008C18F9"/>
    <w:rsid w:val="008F03EE"/>
    <w:rsid w:val="009130C2"/>
    <w:rsid w:val="00932C75"/>
    <w:rsid w:val="00940510"/>
    <w:rsid w:val="009515E1"/>
    <w:rsid w:val="009B1FA9"/>
    <w:rsid w:val="009B6265"/>
    <w:rsid w:val="009C2E8C"/>
    <w:rsid w:val="009D1882"/>
    <w:rsid w:val="009D453A"/>
    <w:rsid w:val="00A70CDD"/>
    <w:rsid w:val="00A779FB"/>
    <w:rsid w:val="00AB47FD"/>
    <w:rsid w:val="00AC4058"/>
    <w:rsid w:val="00B068D3"/>
    <w:rsid w:val="00B310B2"/>
    <w:rsid w:val="00B51C8B"/>
    <w:rsid w:val="00B60A96"/>
    <w:rsid w:val="00B9256D"/>
    <w:rsid w:val="00B935AC"/>
    <w:rsid w:val="00B953CC"/>
    <w:rsid w:val="00B956D7"/>
    <w:rsid w:val="00BA2832"/>
    <w:rsid w:val="00C806ED"/>
    <w:rsid w:val="00C81703"/>
    <w:rsid w:val="00CB38B8"/>
    <w:rsid w:val="00D011C0"/>
    <w:rsid w:val="00D02AE6"/>
    <w:rsid w:val="00D51F10"/>
    <w:rsid w:val="00D738A0"/>
    <w:rsid w:val="00D84C49"/>
    <w:rsid w:val="00DF4892"/>
    <w:rsid w:val="00E0468C"/>
    <w:rsid w:val="00E10F49"/>
    <w:rsid w:val="00E35A54"/>
    <w:rsid w:val="00E41C26"/>
    <w:rsid w:val="00E569F7"/>
    <w:rsid w:val="00EA43DF"/>
    <w:rsid w:val="00EB4676"/>
    <w:rsid w:val="00EB6F85"/>
    <w:rsid w:val="00ED4954"/>
    <w:rsid w:val="00EF06C7"/>
    <w:rsid w:val="00F266C6"/>
    <w:rsid w:val="00F42E53"/>
    <w:rsid w:val="00F753F9"/>
    <w:rsid w:val="00F83B08"/>
    <w:rsid w:val="00F847FC"/>
    <w:rsid w:val="00F94246"/>
    <w:rsid w:val="00F95DBE"/>
    <w:rsid w:val="00FB73EA"/>
    <w:rsid w:val="00FC406A"/>
    <w:rsid w:val="05EC01EE"/>
    <w:rsid w:val="07905CA5"/>
    <w:rsid w:val="0A81324E"/>
    <w:rsid w:val="0C0771E5"/>
    <w:rsid w:val="0D8140F5"/>
    <w:rsid w:val="0E6745B7"/>
    <w:rsid w:val="0E702CBD"/>
    <w:rsid w:val="107072AE"/>
    <w:rsid w:val="10DE13A6"/>
    <w:rsid w:val="11C4617C"/>
    <w:rsid w:val="13BB528C"/>
    <w:rsid w:val="15581B10"/>
    <w:rsid w:val="176E6D2C"/>
    <w:rsid w:val="177F299F"/>
    <w:rsid w:val="183F49D8"/>
    <w:rsid w:val="18E86169"/>
    <w:rsid w:val="1AC4165D"/>
    <w:rsid w:val="1B3E6342"/>
    <w:rsid w:val="1BC3623F"/>
    <w:rsid w:val="21EA1640"/>
    <w:rsid w:val="24BE5A59"/>
    <w:rsid w:val="257D4DB6"/>
    <w:rsid w:val="25B766C6"/>
    <w:rsid w:val="27217E2B"/>
    <w:rsid w:val="27FE194F"/>
    <w:rsid w:val="2A401826"/>
    <w:rsid w:val="2C8E4CF4"/>
    <w:rsid w:val="2F76460A"/>
    <w:rsid w:val="333D5E64"/>
    <w:rsid w:val="359F247F"/>
    <w:rsid w:val="363E5843"/>
    <w:rsid w:val="3A2C7BEC"/>
    <w:rsid w:val="3BB4280D"/>
    <w:rsid w:val="3C0628BE"/>
    <w:rsid w:val="3CB728ED"/>
    <w:rsid w:val="3CCC26BC"/>
    <w:rsid w:val="3ECA33C2"/>
    <w:rsid w:val="3F6C49E5"/>
    <w:rsid w:val="429A3516"/>
    <w:rsid w:val="44AD2CAC"/>
    <w:rsid w:val="44C32388"/>
    <w:rsid w:val="459552DF"/>
    <w:rsid w:val="45F27E70"/>
    <w:rsid w:val="48693FA1"/>
    <w:rsid w:val="493B7DEB"/>
    <w:rsid w:val="4BCF1244"/>
    <w:rsid w:val="4BDA65EB"/>
    <w:rsid w:val="4C771B5E"/>
    <w:rsid w:val="4C983C65"/>
    <w:rsid w:val="4D823F0E"/>
    <w:rsid w:val="4ECC5348"/>
    <w:rsid w:val="51FD2A00"/>
    <w:rsid w:val="52C70486"/>
    <w:rsid w:val="52CE4175"/>
    <w:rsid w:val="57126543"/>
    <w:rsid w:val="5742188D"/>
    <w:rsid w:val="58C6433B"/>
    <w:rsid w:val="5A99515F"/>
    <w:rsid w:val="5BED0A57"/>
    <w:rsid w:val="5D6D70A7"/>
    <w:rsid w:val="61A40F90"/>
    <w:rsid w:val="61DF68F5"/>
    <w:rsid w:val="632440FD"/>
    <w:rsid w:val="63283BE4"/>
    <w:rsid w:val="65B2024F"/>
    <w:rsid w:val="66284C18"/>
    <w:rsid w:val="68BA7960"/>
    <w:rsid w:val="69861694"/>
    <w:rsid w:val="6B7A5341"/>
    <w:rsid w:val="6C274903"/>
    <w:rsid w:val="6C503797"/>
    <w:rsid w:val="6D9D0E96"/>
    <w:rsid w:val="6DCB5BA5"/>
    <w:rsid w:val="6EE10C66"/>
    <w:rsid w:val="6F732601"/>
    <w:rsid w:val="6F9903D4"/>
    <w:rsid w:val="71C443CE"/>
    <w:rsid w:val="726A49BE"/>
    <w:rsid w:val="729E39B7"/>
    <w:rsid w:val="76726FC9"/>
    <w:rsid w:val="77D04293"/>
    <w:rsid w:val="78B84211"/>
    <w:rsid w:val="7C632730"/>
    <w:rsid w:val="7C94480F"/>
    <w:rsid w:val="7CB5248E"/>
    <w:rsid w:val="7D117D38"/>
    <w:rsid w:val="7D921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unhideWhenUsed/>
    <w:qFormat/>
    <w:uiPriority w:val="99"/>
    <w:pPr>
      <w:spacing w:line="240" w:lineRule="auto"/>
    </w:pPr>
    <w:rPr>
      <w:sz w:val="18"/>
      <w:szCs w:val="18"/>
    </w:rPr>
  </w:style>
  <w:style w:type="paragraph" w:styleId="3">
    <w:name w:val="footer"/>
    <w:basedOn w:val="1"/>
    <w:link w:val="10"/>
    <w:unhideWhenUsed/>
    <w:qFormat/>
    <w:uiPriority w:val="99"/>
    <w:pPr>
      <w:tabs>
        <w:tab w:val="center" w:pos="4153"/>
        <w:tab w:val="right" w:pos="8306"/>
      </w:tabs>
      <w:adjustRightInd/>
      <w:spacing w:line="240" w:lineRule="auto"/>
      <w:ind w:firstLine="0" w:firstLineChars="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adjustRightInd/>
      <w:spacing w:line="240" w:lineRule="auto"/>
      <w:ind w:firstLine="0" w:firstLineChars="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adjustRightInd/>
      <w:snapToGrid/>
      <w:spacing w:before="100" w:beforeAutospacing="1" w:after="100" w:afterAutospacing="1" w:line="240" w:lineRule="auto"/>
      <w:ind w:firstLine="0" w:firstLineChars="0"/>
      <w:jc w:val="left"/>
    </w:pPr>
    <w:rPr>
      <w:rFonts w:ascii="宋体" w:hAnsi="宋体" w:cs="宋体"/>
      <w:kern w:val="0"/>
    </w:rPr>
  </w:style>
  <w:style w:type="character" w:styleId="8">
    <w:name w:val="page number"/>
    <w:basedOn w:val="7"/>
    <w:unhideWhenUsed/>
    <w:qFormat/>
    <w:uiPriority w:val="99"/>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qFormat/>
    <w:uiPriority w:val="99"/>
    <w:rPr>
      <w:sz w:val="18"/>
      <w:szCs w:val="18"/>
    </w:rPr>
  </w:style>
  <w:style w:type="paragraph" w:styleId="11">
    <w:name w:val="List Paragraph"/>
    <w:basedOn w:val="1"/>
    <w:qFormat/>
    <w:uiPriority w:val="34"/>
    <w:pPr>
      <w:ind w:firstLine="420"/>
    </w:pPr>
  </w:style>
  <w:style w:type="character" w:customStyle="1" w:styleId="12">
    <w:name w:val="表格文字 Char"/>
    <w:link w:val="13"/>
    <w:qFormat/>
    <w:uiPriority w:val="0"/>
    <w:rPr>
      <w:szCs w:val="24"/>
    </w:rPr>
  </w:style>
  <w:style w:type="paragraph" w:customStyle="1" w:styleId="13">
    <w:name w:val="表格文字"/>
    <w:basedOn w:val="1"/>
    <w:link w:val="12"/>
    <w:qFormat/>
    <w:uiPriority w:val="0"/>
    <w:pPr>
      <w:spacing w:line="288" w:lineRule="auto"/>
      <w:ind w:firstLine="0" w:firstLineChars="0"/>
      <w:jc w:val="center"/>
    </w:pPr>
    <w:rPr>
      <w:rFonts w:asciiTheme="minorHAnsi" w:hAnsiTheme="minorHAnsi" w:eastAsiaTheme="minorEastAsia" w:cstheme="minorBidi"/>
      <w:sz w:val="21"/>
    </w:rPr>
  </w:style>
  <w:style w:type="character" w:customStyle="1" w:styleId="14">
    <w:name w:val="批注框文本 Char"/>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1672</Words>
  <Characters>1850</Characters>
  <Lines>8</Lines>
  <Paragraphs>2</Paragraphs>
  <TotalTime>0</TotalTime>
  <ScaleCrop>false</ScaleCrop>
  <LinksUpToDate>false</LinksUpToDate>
  <CharactersWithSpaces>2013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2017-01-16T07:18:00Z</dcterms:created>
  <dc:creator>user</dc:creator>
  <cp:lastModifiedBy>柿子</cp:lastModifiedBy>
  <cp:lastPrinted>2023-07-07T10:32:44Z</cp:lastPrinted>
  <dcterms:modified xsi:type="dcterms:W3CDTF">2023-07-07T10:35:11Z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53A492B351FB4F2EBFC555086D5DDE34_13</vt:lpwstr>
  </property>
</Properties>
</file>