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汕头市2023年“6·30”助力乡村振兴活动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拟通报表扬认</w:t>
      </w:r>
      <w:bookmarkStart w:id="0" w:name="_GoBack"/>
      <w:bookmarkEnd w:id="0"/>
      <w:r>
        <w:rPr>
          <w:rFonts w:ascii="Times New Roman" w:hAnsi="Times New Roman" w:eastAsia="方正小标宋简体"/>
          <w:sz w:val="44"/>
          <w:szCs w:val="44"/>
        </w:rPr>
        <w:t>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年度广东扶贫济困爱心慈善之星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汕头市建平房地产有限公司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广东省联泰集团有限公司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广东东泓集团有限公司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广东大禹水利建设有限公司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广东中环投资集团有限公司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广东联泰环保股份有限公司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汕头市荟瑞酒店管理有限公司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广东省侨鑫公益基金会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珠海市广拓置业有限公司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广东德兴食品股份有限公司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汕头市潮南区陈店商会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深圳潮人海外经济促进会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汕头市德业基投资有限公司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仙乐健康科技股份有限公司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广东新长安建筑设计院有限公司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姚甲隆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汕头市尊盛能源投资有限公司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/>
          <w:lang w:val="en-US" w:eastAsia="zh-CN"/>
        </w:rPr>
        <w:t>汕头经济特区华祺房地产开发有限公司</w:t>
      </w:r>
    </w:p>
    <w:p>
      <w:pPr>
        <w:pStyle w:val="4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/>
          <w:sz w:val="32"/>
          <w:szCs w:val="32"/>
        </w:rPr>
        <w:t>年度广东扶贫济困</w:t>
      </w:r>
      <w:r>
        <w:rPr>
          <w:rFonts w:hint="eastAsia" w:ascii="Times New Roman" w:hAnsi="Times New Roman" w:eastAsia="黑体"/>
          <w:sz w:val="32"/>
          <w:szCs w:val="32"/>
          <w:lang w:eastAsia="zh-CN"/>
        </w:rPr>
        <w:t>乡村振兴</w:t>
      </w:r>
      <w:r>
        <w:rPr>
          <w:rFonts w:ascii="Times New Roman" w:hAnsi="Times New Roman" w:eastAsia="黑体"/>
          <w:sz w:val="32"/>
          <w:szCs w:val="32"/>
        </w:rPr>
        <w:t>贡献奖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广东省联泰集团有限公司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广东东泓集团有限公司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广东中环投资集团有限公司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深圳潮人海外经济促进会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姚甲隆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黄三河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深圳市敏锐纸塑制品有限公司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郑世进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汕头市潮庭食品股份有限公司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深圳市东启供应链股份有限公司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广东雅丽洁精细化工有限公司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  <w:rPr>
          <w:rFonts w:hint="default" w:ascii="Times New Roman" w:hAnsi="Times New Roman"/>
        </w:rPr>
      </w:pPr>
      <w:r>
        <w:rPr>
          <w:rFonts w:hint="default" w:ascii="Times New Roman" w:hAnsi="Times New Roman"/>
        </w:rPr>
        <w:t>深圳市特区建工集团有限公司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textAlignment w:val="auto"/>
      </w:pPr>
      <w:r>
        <w:rPr>
          <w:rFonts w:hint="default" w:ascii="Times New Roman" w:hAnsi="Times New Roman"/>
        </w:rPr>
        <w:t>广东龙湖科技股份有限公司</w:t>
      </w:r>
    </w:p>
    <w:p/>
    <w:sectPr>
      <w:pgSz w:w="11906" w:h="16838"/>
      <w:pgMar w:top="1984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A0E455"/>
    <w:multiLevelType w:val="singleLevel"/>
    <w:tmpl w:val="7EA0E4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OTI2MDAwZDg1ZTRkMWI2ZTkyYzA4YWE3NGJhYmEifQ=="/>
  </w:docVars>
  <w:rsids>
    <w:rsidRoot w:val="72444574"/>
    <w:rsid w:val="724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iPriority w:val="0"/>
    <w:pPr>
      <w:keepNext/>
      <w:keepLines/>
      <w:spacing w:before="260" w:beforeLines="0" w:after="260" w:afterLines="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spacing w:beforeLines="0" w:afterLines="0"/>
      <w:ind w:left="110" w:firstLine="641"/>
    </w:pPr>
    <w:rPr>
      <w:rFonts w:hint="eastAsia" w:ascii="仿宋_GB2312" w:hAnsi="仿宋_GB2312" w:eastAsia="仿宋_GB2312"/>
      <w:sz w:val="32"/>
    </w:rPr>
  </w:style>
  <w:style w:type="paragraph" w:styleId="4">
    <w:name w:val="toc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400</Words>
  <Characters>410</Characters>
  <Lines>0</Lines>
  <Paragraphs>0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2023-06-14T09:46:00Z</dcterms:created>
  <dc:creator>Lenovo</dc:creator>
  <cp:lastModifiedBy>Lenovo</cp:lastModifiedBy>
  <dcterms:modified xsi:type="dcterms:W3CDTF">2023-06-14T09:47:05Z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F76F0D04F7554792B4AA2C83A041791C_11</vt:lpwstr>
  </property>
</Properties>
</file>