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keepNext w:val="0"/>
        <w:keepLines w:val="0"/>
        <w:pageBreakBefore w:val="0"/>
        <w:widowControl w:val="0"/>
        <w:tabs>
          <w:tab w:val="left" w:pos="312"/>
        </w:tabs>
        <w:kinsoku/>
        <w:wordWrap/>
        <w:overflowPunct/>
        <w:topLinePunct w:val="0"/>
        <w:autoSpaceDE/>
        <w:autoSpaceDN/>
        <w:bidi w:val="0"/>
        <w:adjustRightInd w:val="0"/>
        <w:snapToGrid w:val="0"/>
        <w:spacing w:line="460" w:lineRule="exact"/>
        <w:jc w:val="center"/>
        <w:textAlignment w:val="auto"/>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国有建设用地使用权登记（转移登记）申请材料</w:t>
      </w:r>
    </w:p>
    <w:p>
      <w:pPr>
        <w:keepNext w:val="0"/>
        <w:keepLines w:val="0"/>
        <w:pageBreakBefore w:val="0"/>
        <w:widowControl w:val="0"/>
        <w:tabs>
          <w:tab w:val="left" w:pos="312"/>
        </w:tabs>
        <w:kinsoku/>
        <w:wordWrap/>
        <w:overflowPunct/>
        <w:topLinePunct w:val="0"/>
        <w:autoSpaceDE/>
        <w:autoSpaceDN/>
        <w:bidi w:val="0"/>
        <w:adjustRightInd w:val="0"/>
        <w:snapToGrid w:val="0"/>
        <w:spacing w:line="460" w:lineRule="exact"/>
        <w:jc w:val="center"/>
        <w:textAlignment w:val="auto"/>
        <w:rPr>
          <w:b/>
          <w:bCs/>
          <w:sz w:val="11"/>
          <w:szCs w:val="44"/>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不动产登记申请表</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中华人民共和国不动产权证书</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申请划拨取得国有建设用地使用权转移登记的，应当提交有批准权的人民政府的批准文件</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法人或组织合并、分立导致权属发生转移的，提交法人或组织合并、分立的材料以及不动产权属转移的材料</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因人民法院、仲裁委员会的生效法律文书等导致权属发生变化的，提交人民法院、仲裁委员会的生效法律文书等材料</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分割、合并导致权属发生转移的，提交分割或合并协议书，或者记载有分割或合并内容的生效法律文书。实体分割或合并的，还应提交有权部门同意分割或合并的批准文件以及分割或合并后的权籍调查表、宗地图等权籍调查成果</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共有人增加或者减少的，提交共有人增加或者减少的协议；共有份额变化的，提交共有份额转移协议</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作价出资（入股）的，提交作价出资（入股）协议</w:t>
      </w:r>
      <w:r>
        <w:rPr>
          <w:rFonts w:hint="eastAsia" w:ascii="方正仿宋_GBK" w:hAnsi="方正仿宋_GBK" w:eastAsia="方正仿宋_GBK" w:cs="方正仿宋_GBK"/>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Nimbus Sans" w:hAnsi="Nimbus Sans" w:eastAsia="方正仿宋_GBK" w:cs="Nimbus Sans"/>
          <w:sz w:val="28"/>
          <w:szCs w:val="28"/>
          <w:lang w:eastAsia="zh-CN"/>
        </w:rPr>
      </w:pPr>
      <w:r>
        <w:rPr>
          <w:rFonts w:hint="default" w:ascii="Nimbus Sans" w:hAnsi="Nimbus Sans" w:eastAsia="方正仿宋_GBK" w:cs="Nimbus Sans"/>
          <w:sz w:val="28"/>
          <w:szCs w:val="28"/>
          <w:lang w:val="en"/>
        </w:rPr>
        <w:t>10.</w:t>
      </w:r>
      <w:r>
        <w:rPr>
          <w:rFonts w:hint="default" w:ascii="Nimbus Sans" w:hAnsi="Nimbus Sans" w:eastAsia="方正仿宋_GBK" w:cs="Nimbus Sans"/>
          <w:sz w:val="28"/>
          <w:szCs w:val="28"/>
        </w:rPr>
        <w:t>因继承或受遗赠取得的，应提交所有继承人的身份证明、亲属关系、放弃继承或继承协议等材料和被继承人的死亡证明、遗嘱、赠与协议等材料</w:t>
      </w:r>
      <w:r>
        <w:rPr>
          <w:rFonts w:hint="eastAsia" w:ascii="Nimbus Sans" w:hAnsi="Nimbus Sans" w:eastAsia="方正仿宋_GBK" w:cs="Nimbus San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Nimbus Sans" w:hAnsi="Nimbus Sans" w:eastAsia="方正仿宋_GBK" w:cs="Nimbus Sans"/>
          <w:sz w:val="28"/>
          <w:szCs w:val="28"/>
          <w:lang w:eastAsia="zh-CN"/>
        </w:rPr>
      </w:pPr>
      <w:r>
        <w:rPr>
          <w:rFonts w:hint="default" w:ascii="Nimbus Sans" w:hAnsi="Nimbus Sans" w:eastAsia="方正仿宋_GBK" w:cs="Nimbus Sans"/>
          <w:sz w:val="28"/>
          <w:szCs w:val="28"/>
          <w:lang w:val="en"/>
        </w:rPr>
        <w:t>11.</w:t>
      </w:r>
      <w:r>
        <w:rPr>
          <w:rFonts w:hint="default" w:ascii="Nimbus Sans" w:hAnsi="Nimbus Sans" w:eastAsia="方正仿宋_GBK" w:cs="Nimbus Sans"/>
          <w:sz w:val="28"/>
          <w:szCs w:val="28"/>
        </w:rPr>
        <w:t>买卖的，提交买卖合同，互换的，提交互换合同，赠与的，提交赠与合同</w:t>
      </w:r>
      <w:r>
        <w:rPr>
          <w:rFonts w:hint="eastAsia" w:ascii="Nimbus Sans" w:hAnsi="Nimbus Sans" w:eastAsia="方正仿宋_GBK" w:cs="Nimbus San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Nimbus Sans" w:hAnsi="Nimbus Sans" w:eastAsia="方正仿宋_GBK" w:cs="Nimbus Sans"/>
          <w:sz w:val="28"/>
          <w:szCs w:val="28"/>
          <w:lang w:eastAsia="zh-CN"/>
        </w:rPr>
      </w:pPr>
      <w:r>
        <w:rPr>
          <w:rFonts w:hint="default" w:ascii="Nimbus Sans" w:hAnsi="Nimbus Sans" w:eastAsia="方正仿宋_GBK" w:cs="Nimbus Sans"/>
          <w:sz w:val="28"/>
          <w:szCs w:val="28"/>
          <w:lang w:val="en"/>
        </w:rPr>
        <w:t>12.</w:t>
      </w:r>
      <w:r>
        <w:rPr>
          <w:rFonts w:hint="default" w:ascii="Nimbus Sans" w:hAnsi="Nimbus Sans" w:eastAsia="方正仿宋_GBK" w:cs="Nimbus Sans"/>
          <w:sz w:val="28"/>
          <w:szCs w:val="28"/>
        </w:rPr>
        <w:t>国有建设用地使用权转移的材料</w:t>
      </w:r>
      <w:r>
        <w:rPr>
          <w:rFonts w:hint="eastAsia" w:ascii="Nimbus Sans" w:hAnsi="Nimbus Sans" w:eastAsia="方正仿宋_GBK" w:cs="Nimbus San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Nimbus Sans" w:hAnsi="Nimbus Sans" w:eastAsia="方正仿宋_GBK" w:cs="Nimbus Sans"/>
          <w:sz w:val="28"/>
          <w:szCs w:val="28"/>
          <w:lang w:eastAsia="zh-CN"/>
        </w:rPr>
      </w:pPr>
      <w:r>
        <w:rPr>
          <w:rFonts w:hint="default" w:ascii="Nimbus Sans" w:hAnsi="Nimbus Sans" w:eastAsia="方正仿宋_GBK" w:cs="Nimbus Sans"/>
          <w:sz w:val="28"/>
          <w:szCs w:val="28"/>
          <w:lang w:val="en"/>
        </w:rPr>
        <w:t>13.</w:t>
      </w:r>
      <w:r>
        <w:rPr>
          <w:rFonts w:hint="default" w:ascii="Nimbus Sans" w:hAnsi="Nimbus Sans" w:eastAsia="方正仿宋_GBK" w:cs="Nimbus Sans"/>
          <w:sz w:val="28"/>
          <w:szCs w:val="28"/>
        </w:rPr>
        <w:t>依法需要补交土地出让价款、缴纳税费的、应当提交缴清土地出让价款凭证、税费缴纳凭证</w:t>
      </w:r>
      <w:r>
        <w:rPr>
          <w:rFonts w:hint="eastAsia" w:ascii="Nimbus Sans" w:hAnsi="Nimbus Sans" w:eastAsia="方正仿宋_GBK" w:cs="Nimbus San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方正仿宋_GBK" w:hAnsi="方正仿宋_GBK" w:eastAsia="方正仿宋_GBK" w:cs="方正仿宋_GBK"/>
          <w:sz w:val="28"/>
          <w:szCs w:val="28"/>
          <w:lang w:eastAsia="zh-CN"/>
        </w:rPr>
      </w:pPr>
      <w:r>
        <w:rPr>
          <w:rFonts w:hint="default" w:ascii="Nimbus Sans" w:hAnsi="Nimbus Sans" w:eastAsia="方正仿宋_GBK" w:cs="Nimbus Sans"/>
          <w:sz w:val="28"/>
          <w:szCs w:val="28"/>
          <w:lang w:val="en"/>
        </w:rPr>
        <w:t>14</w:t>
      </w:r>
      <w:r>
        <w:rPr>
          <w:rFonts w:hint="default" w:ascii="方正仿宋_GBK" w:hAnsi="方正仿宋_GBK" w:eastAsia="方正仿宋_GBK" w:cs="方正仿宋_GBK"/>
          <w:sz w:val="28"/>
          <w:szCs w:val="28"/>
          <w:lang w:val="en"/>
        </w:rPr>
        <w:t>.</w:t>
      </w:r>
      <w:r>
        <w:rPr>
          <w:rFonts w:hint="eastAsia" w:ascii="方正仿宋_GBK" w:hAnsi="方正仿宋_GBK" w:eastAsia="方正仿宋_GBK" w:cs="方正仿宋_GBK"/>
          <w:sz w:val="28"/>
          <w:szCs w:val="28"/>
        </w:rPr>
        <w:t>税费申报（减免）材料</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spacing w:line="460" w:lineRule="exact"/>
        <w:ind w:firstLine="495"/>
        <w:textAlignment w:val="auto"/>
        <w:rPr>
          <w:rFonts w:hint="eastAsia" w:ascii="宋体" w:hAnsi="宋体" w:cs="宋体"/>
          <w:b/>
          <w:bCs/>
          <w:spacing w:val="-3"/>
          <w:sz w:val="28"/>
          <w:szCs w:val="28"/>
        </w:rPr>
      </w:pPr>
      <w:r>
        <w:rPr>
          <w:rFonts w:hint="eastAsia" w:ascii="宋体" w:hAnsi="宋体" w:cs="宋体"/>
          <w:b/>
          <w:bCs/>
          <w:spacing w:val="-3"/>
          <w:sz w:val="28"/>
          <w:szCs w:val="28"/>
        </w:rPr>
        <w:t>注：申请材料明细见附表</w:t>
      </w:r>
    </w:p>
    <w:p>
      <w:pPr>
        <w:pStyle w:val="2"/>
        <w:rPr>
          <w:rFonts w:hint="eastAsia"/>
        </w:rPr>
      </w:pPr>
    </w:p>
    <w:p>
      <w:pPr>
        <w:pStyle w:val="2"/>
      </w:pPr>
    </w:p>
    <w:p>
      <w:pPr>
        <w:adjustRightInd w:val="0"/>
        <w:snapToGrid w:val="0"/>
        <w:spacing w:line="400" w:lineRule="atLeast"/>
        <w:jc w:val="center"/>
        <w:rPr>
          <w:rFonts w:ascii="宋体" w:hAnsi="宋体" w:cs="宋体"/>
          <w:b/>
          <w:bCs/>
          <w:spacing w:val="-3"/>
          <w:sz w:val="28"/>
          <w:szCs w:val="28"/>
        </w:rPr>
      </w:pPr>
      <w:r>
        <w:rPr>
          <w:rFonts w:hint="eastAsia" w:ascii="宋体" w:hAnsi="宋体" w:cs="宋体"/>
          <w:b/>
          <w:bCs/>
          <w:spacing w:val="-3"/>
          <w:sz w:val="28"/>
          <w:szCs w:val="28"/>
        </w:rPr>
        <w:t>国有建设用地使用权登记（转移登记）</w:t>
      </w:r>
      <w:r>
        <w:rPr>
          <w:rFonts w:ascii="宋体" w:hAnsi="宋体" w:cs="宋体"/>
          <w:b/>
          <w:bCs/>
          <w:spacing w:val="-3"/>
          <w:sz w:val="28"/>
          <w:szCs w:val="28"/>
        </w:rPr>
        <w:t>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6"/>
        <w:gridCol w:w="1780"/>
        <w:gridCol w:w="713"/>
        <w:gridCol w:w="3062"/>
        <w:gridCol w:w="1050"/>
        <w:gridCol w:w="1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56"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8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775"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663" w:type="dxa"/>
            <w:vAlign w:val="center"/>
          </w:tcPr>
          <w:p>
            <w:pPr>
              <w:autoSpaceDE w:val="0"/>
              <w:autoSpaceDN w:val="0"/>
              <w:adjustRightInd w:val="0"/>
              <w:snapToGrid w:val="0"/>
              <w:ind w:firstLine="17"/>
              <w:jc w:val="both"/>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856"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7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不动产登记申请表</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不动产登记申请表</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856"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2</w:t>
            </w:r>
          </w:p>
        </w:tc>
        <w:tc>
          <w:tcPr>
            <w:tcW w:w="178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71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委托书</w:t>
            </w:r>
          </w:p>
        </w:tc>
        <w:tc>
          <w:tcPr>
            <w:tcW w:w="30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自然人委托的，提供经公证的委托书；委托书未经公证的，申请人应当与代理人共同到登记机构签署委托书，并经登记机构见证。</w:t>
            </w:r>
          </w:p>
        </w:tc>
        <w:tc>
          <w:tcPr>
            <w:tcW w:w="105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66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71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c>
          <w:tcPr>
            <w:tcW w:w="30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境外申请人委托的，提供经公证或认证的委托书。</w:t>
            </w:r>
          </w:p>
        </w:tc>
        <w:tc>
          <w:tcPr>
            <w:tcW w:w="105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66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85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66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856"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7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1"/>
                <w:sz w:val="21"/>
                <w:szCs w:val="21"/>
              </w:rPr>
              <w:t>《国有土地使用证》或《不动产权证书》</w:t>
            </w:r>
            <w:r>
              <w:rPr>
                <w:rFonts w:hint="eastAsia" w:ascii="方正仿宋_GBK" w:hAnsi="方正仿宋_GBK" w:eastAsia="方正仿宋_GBK" w:cs="方正仿宋_GBK"/>
                <w:sz w:val="21"/>
                <w:szCs w:val="21"/>
              </w:rPr>
              <w:t>共有的还应提交其他共有证。</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856"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780" w:type="dxa"/>
            <w:tcBorders>
              <w:bottom w:val="single" w:color="auto" w:sz="4" w:space="0"/>
            </w:tcBorders>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有批准权的人民政府的批准文件</w:t>
            </w:r>
          </w:p>
        </w:tc>
        <w:tc>
          <w:tcPr>
            <w:tcW w:w="3775" w:type="dxa"/>
            <w:gridSpan w:val="2"/>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rPr>
              <w:t>有批准权的人民政府的批准文件</w:t>
            </w:r>
            <w:r>
              <w:rPr>
                <w:rFonts w:hint="eastAsia" w:ascii="方正仿宋_GBK" w:hAnsi="方正仿宋_GBK" w:eastAsia="方正仿宋_GBK" w:cs="方正仿宋_GBK"/>
                <w:sz w:val="21"/>
                <w:szCs w:val="21"/>
                <w:lang w:eastAsia="zh-CN"/>
              </w:rPr>
              <w:t>。</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申请划拨取得国有建设用地使用权转移登记的，应当提交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法人或组织合并、分立的材料以及不动产权属转移的材料</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法人或组织合并、分立的材料以及不动产权属转移的材料</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法人或组织合并、分立导致权属发生转移的提交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人民法院、仲裁委员会的生效法律文书等材料</w:t>
            </w:r>
          </w:p>
        </w:tc>
        <w:tc>
          <w:tcPr>
            <w:tcW w:w="3775" w:type="dxa"/>
            <w:gridSpan w:val="2"/>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人民法院、仲裁委员会的生效法律文书等材料</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因人民法院、仲裁委员会的生效法律文书等导致权属发生变化的提交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7</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分割或合并协议书，或者记载有分割或合并内容的生效法律文书。实体分割或合并的，还应提交有权部门同意分割或合并的批准文件以及分割或合并后的权籍调查表、宗地图等权籍调查成果</w:t>
            </w:r>
          </w:p>
        </w:tc>
        <w:tc>
          <w:tcPr>
            <w:tcW w:w="3775" w:type="dxa"/>
            <w:gridSpan w:val="2"/>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分割或合并协议书，或者记载有分割或合并内容的生效法律文书。实体分割或合并的，还应提交有权部门同意分割或合并的批准文件以及分割或合并后的权籍调查表、宗地图等权籍调查成果</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分割、合并导致权属发生转移的提交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8</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共有人增加或者减少的协议；共有份额变化的，提交共有份额转移协议</w:t>
            </w:r>
          </w:p>
        </w:tc>
        <w:tc>
          <w:tcPr>
            <w:tcW w:w="3775" w:type="dxa"/>
            <w:gridSpan w:val="2"/>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共有人增加或者减少的协议；共有份额变化的，提交共有份额转移协议</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共有人增加或者减少的提交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9</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作价出资（入股）协议</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作价出资（入股）协议</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作价出资（入股）的提交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所有继承人的身份证明、亲属关系、放弃继承或继承协议等材料和被继承人的死亡证明、遗嘱、赠与协议等材料。</w:t>
            </w:r>
          </w:p>
        </w:tc>
        <w:tc>
          <w:tcPr>
            <w:tcW w:w="3775" w:type="dxa"/>
            <w:gridSpan w:val="2"/>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所有继承人的身份证明、亲属关系、放弃继承或继承协议等材料和被继承人的死亡证明、遗嘱、赠与协议等材料。也可以提交经公证的材料或者生效的法律文书。</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因继承或受遗赠取得的应提交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856"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11</w:t>
            </w:r>
          </w:p>
        </w:tc>
        <w:tc>
          <w:tcPr>
            <w:tcW w:w="178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买卖合同、互换合同、赠与合同</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买卖合同</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买卖的提交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5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互换合同</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互换的提交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856"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p>
        </w:tc>
        <w:tc>
          <w:tcPr>
            <w:tcW w:w="178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赠与合同</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赠与的提交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12</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国有建设用地使用权转移的材料</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其他共有人同意的书面材料。</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pStyle w:val="8"/>
              <w:keepNext w:val="0"/>
              <w:keepLines w:val="0"/>
              <w:pageBreakBefore w:val="0"/>
              <w:widowControl w:val="0"/>
              <w:kinsoku/>
              <w:wordWrap/>
              <w:overflowPunct/>
              <w:topLinePunct w:val="0"/>
              <w:bidi w:val="0"/>
              <w:spacing w:before="42" w:line="26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zh-CN"/>
              </w:rPr>
              <w:t>按份共有人转让不动</w:t>
            </w:r>
            <w:r>
              <w:rPr>
                <w:rFonts w:hint="eastAsia" w:ascii="方正仿宋_GBK" w:hAnsi="方正仿宋_GBK" w:eastAsia="方正仿宋_GBK" w:cs="方正仿宋_GBK"/>
                <w:w w:val="95"/>
                <w:sz w:val="21"/>
                <w:szCs w:val="21"/>
              </w:rPr>
              <w:t>产的，受让人是共有人</w:t>
            </w:r>
            <w:r>
              <w:rPr>
                <w:rFonts w:hint="eastAsia" w:ascii="方正仿宋_GBK" w:hAnsi="方正仿宋_GBK" w:eastAsia="方正仿宋_GBK" w:cs="方正仿宋_GBK"/>
                <w:sz w:val="21"/>
                <w:szCs w:val="21"/>
              </w:rPr>
              <w:t>以外的人的提交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5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13</w:t>
            </w:r>
          </w:p>
        </w:tc>
        <w:tc>
          <w:tcPr>
            <w:tcW w:w="1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缴清土地出让价款凭证、税费缴纳凭证</w:t>
            </w:r>
          </w:p>
        </w:tc>
        <w:tc>
          <w:tcPr>
            <w:tcW w:w="3775" w:type="dxa"/>
            <w:gridSpan w:val="2"/>
            <w:vAlign w:val="center"/>
          </w:tcPr>
          <w:p>
            <w:pPr>
              <w:keepNext w:val="0"/>
              <w:keepLines w:val="0"/>
              <w:pageBreakBefore w:val="0"/>
              <w:widowControl w:val="0"/>
              <w:tabs>
                <w:tab w:val="left" w:pos="312"/>
              </w:tabs>
              <w:kinsoku/>
              <w:wordWrap/>
              <w:overflowPunct/>
              <w:topLinePunct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缴清土地出让价款凭证、税费缴纳凭证</w:t>
            </w:r>
          </w:p>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依法需要补交土地出让价款的、应当提交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856" w:type="dxa"/>
            <w:tcBorders>
              <w:top w:val="single" w:color="auto" w:sz="4" w:space="0"/>
            </w:tcBorders>
            <w:vAlign w:val="center"/>
          </w:tcPr>
          <w:p>
            <w:pPr>
              <w:keepNext w:val="0"/>
              <w:keepLines w:val="0"/>
              <w:pageBreakBefore w:val="0"/>
              <w:widowControl w:val="0"/>
              <w:kinsoku/>
              <w:wordWrap/>
              <w:overflowPunct/>
              <w:topLinePunct w:val="0"/>
              <w:bidi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14</w:t>
            </w:r>
          </w:p>
        </w:tc>
        <w:tc>
          <w:tcPr>
            <w:tcW w:w="1780" w:type="dxa"/>
            <w:tcBorders>
              <w:top w:val="single" w:color="auto" w:sz="4" w:space="0"/>
            </w:tcBorders>
            <w:vAlign w:val="center"/>
          </w:tcPr>
          <w:p>
            <w:pPr>
              <w:keepNext w:val="0"/>
              <w:keepLines w:val="0"/>
              <w:pageBreakBefore w:val="0"/>
              <w:widowControl w:val="0"/>
              <w:kinsoku/>
              <w:wordWrap/>
              <w:overflowPunct/>
              <w:topLinePunct w:val="0"/>
              <w:bidi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税费申报（减免）材料</w:t>
            </w:r>
          </w:p>
        </w:tc>
        <w:tc>
          <w:tcPr>
            <w:tcW w:w="3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完税或减免税凭证等。</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6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6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依法需要缴纳税费的、应当提交</w:t>
            </w:r>
          </w:p>
        </w:tc>
      </w:tr>
    </w:tbl>
    <w:p>
      <w:pPr>
        <w:keepNext w:val="0"/>
        <w:keepLines w:val="0"/>
        <w:pageBreakBefore w:val="0"/>
        <w:widowControl w:val="0"/>
        <w:kinsoku/>
        <w:wordWrap/>
        <w:overflowPunct/>
        <w:topLinePunct w:val="0"/>
        <w:autoSpaceDE w:val="0"/>
        <w:autoSpaceDN w:val="0"/>
        <w:bidi w:val="0"/>
        <w:spacing w:before="39" w:line="26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numId w:val="0"/>
        </w:numPr>
        <w:kinsoku/>
        <w:wordWrap/>
        <w:overflowPunct/>
        <w:topLinePunct w:val="0"/>
        <w:bidi w:val="0"/>
        <w:spacing w:line="260" w:lineRule="exact"/>
        <w:ind w:firstLine="420" w:firstLineChars="200"/>
        <w:textAlignment w:val="auto"/>
        <w:rPr>
          <w:rFonts w:hint="eastAsia"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lang w:val="en-US" w:eastAsia="zh-C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w:t>
      </w:r>
      <w:bookmarkStart w:id="0" w:name="_GoBack"/>
      <w:bookmarkEnd w:id="0"/>
      <w:r>
        <w:rPr>
          <w:rFonts w:hint="eastAsia" w:ascii="方正仿宋_GBK" w:hAnsi="方正仿宋_GBK" w:eastAsia="方正仿宋_GBK" w:cs="方正仿宋_GBK"/>
          <w:kern w:val="0"/>
          <w:sz w:val="21"/>
          <w:szCs w:val="21"/>
        </w:rPr>
        <w:t>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030526"/>
    <w:rsid w:val="00141AC7"/>
    <w:rsid w:val="001F3EEC"/>
    <w:rsid w:val="00334D1E"/>
    <w:rsid w:val="00430991"/>
    <w:rsid w:val="004A7A2E"/>
    <w:rsid w:val="007148D4"/>
    <w:rsid w:val="00786163"/>
    <w:rsid w:val="00800703"/>
    <w:rsid w:val="00811101"/>
    <w:rsid w:val="00834226"/>
    <w:rsid w:val="008C0034"/>
    <w:rsid w:val="008E023A"/>
    <w:rsid w:val="00AC78F2"/>
    <w:rsid w:val="00B15D93"/>
    <w:rsid w:val="00BB7B70"/>
    <w:rsid w:val="00BC56B4"/>
    <w:rsid w:val="00C36B2D"/>
    <w:rsid w:val="00D73B66"/>
    <w:rsid w:val="00E87BE2"/>
    <w:rsid w:val="0FD5606D"/>
    <w:rsid w:val="4ED40086"/>
    <w:rsid w:val="4FDF0E14"/>
    <w:rsid w:val="574F6FB0"/>
    <w:rsid w:val="5D3F048D"/>
    <w:rsid w:val="5FABE85B"/>
    <w:rsid w:val="6C022DB1"/>
    <w:rsid w:val="7105198D"/>
    <w:rsid w:val="748F6002"/>
    <w:rsid w:val="76C715B3"/>
    <w:rsid w:val="7FFFA8A2"/>
    <w:rsid w:val="BBFFA377"/>
    <w:rsid w:val="BF7F4D34"/>
    <w:rsid w:val="E7E77EDA"/>
    <w:rsid w:val="FEFFF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343</Words>
  <Characters>1958</Characters>
  <Lines>16</Lines>
  <Paragraphs>4</Paragraphs>
  <TotalTime>7</TotalTime>
  <ScaleCrop>false</ScaleCrop>
  <LinksUpToDate>false</LinksUpToDate>
  <CharactersWithSpaces>2297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2023-05-24T16:13:29Z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