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宅基地使用权及建筑物、构筑物所有权登记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（注销登记）申请材料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因人民法院或者仲裁委员会生效法律文书导致权利消灭的，提交人民法院或仲裁委员会生效法律文书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依法没收、征收、收宅地基使用权或者房屋所有权的，提交人民政府生效的决定书宅基地使用权及房屋所有权消灭的材料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权利人放弃宅基地使用权及房屋所有权的，提交权利人放弃权利的书面文件。被放弃的宅基地、房屋设有地役权，需提交地役权人同意注销的书面文件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宅基地、房屋灭失的，提交灭失材料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宅基地使用权及房屋所有权消灭的材料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sz w:val="32"/>
          <w:szCs w:val="32"/>
        </w:rPr>
      </w:pPr>
      <w:r>
        <w:rPr>
          <w:rFonts w:hint="eastAsia" w:ascii="华文仿宋" w:hAnsi="华文仿宋" w:eastAsia="华文仿宋" w:cs="华文仿宋"/>
          <w:b/>
          <w:bCs/>
          <w:spacing w:val="-3"/>
          <w:sz w:val="32"/>
          <w:szCs w:val="32"/>
        </w:rPr>
        <w:t>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ascii="宋体" w:hAnsi="宋体" w:cs="宋体"/>
          <w:b/>
          <w:bCs/>
          <w:spacing w:val="-3"/>
          <w:sz w:val="28"/>
          <w:szCs w:val="28"/>
        </w:rPr>
      </w:pPr>
      <w:r>
        <w:rPr>
          <w:rFonts w:hint="eastAsia" w:ascii="宋体" w:hAnsi="宋体" w:cs="宋体"/>
          <w:b/>
          <w:bCs/>
          <w:spacing w:val="-3"/>
          <w:sz w:val="28"/>
          <w:szCs w:val="28"/>
        </w:rPr>
        <w:t>宅基地使用权及建筑物、构筑物所有权登记（注销登记）</w:t>
      </w:r>
      <w:r>
        <w:rPr>
          <w:rFonts w:ascii="宋体" w:hAnsi="宋体" w:cs="宋体"/>
          <w:b/>
          <w:bCs/>
          <w:spacing w:val="-3"/>
          <w:sz w:val="28"/>
          <w:szCs w:val="28"/>
        </w:rPr>
        <w:t>申请材料明细</w:t>
      </w:r>
    </w:p>
    <w:p>
      <w:pPr>
        <w:autoSpaceDE w:val="0"/>
        <w:autoSpaceDN w:val="0"/>
        <w:spacing w:before="4"/>
        <w:jc w:val="left"/>
        <w:rPr>
          <w:rFonts w:ascii="宋体" w:hAnsi="宋体" w:cs="宋体"/>
          <w:sz w:val="10"/>
          <w:szCs w:val="28"/>
        </w:rPr>
      </w:pPr>
    </w:p>
    <w:tbl>
      <w:tblPr>
        <w:tblStyle w:val="5"/>
        <w:tblW w:w="9382"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6"/>
        <w:gridCol w:w="1800"/>
        <w:gridCol w:w="4087"/>
        <w:gridCol w:w="1050"/>
        <w:gridCol w:w="18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trPr>
        <w:tc>
          <w:tcPr>
            <w:tcW w:w="586" w:type="dxa"/>
            <w:vAlign w:val="center"/>
          </w:tcPr>
          <w:p>
            <w:pPr>
              <w:tabs>
                <w:tab w:val="left" w:pos="210"/>
              </w:tabs>
              <w:autoSpaceDE w:val="0"/>
              <w:autoSpaceDN w:val="0"/>
              <w:adjustRightInd w:val="0"/>
              <w:snapToGrid w:val="0"/>
              <w:ind w:firstLine="17"/>
              <w:jc w:val="center"/>
              <w:rPr>
                <w:rFonts w:hint="eastAsia" w:ascii="宋体" w:hAnsi="宋体" w:cs="宋体"/>
                <w:sz w:val="24"/>
                <w:lang w:eastAsia="en-US"/>
              </w:rPr>
            </w:pPr>
            <w:r>
              <w:rPr>
                <w:rFonts w:hint="eastAsia" w:ascii="宋体" w:hAnsi="宋体" w:cs="宋体"/>
                <w:b/>
                <w:color w:val="000000"/>
                <w:sz w:val="24"/>
                <w:lang w:eastAsia="en-US"/>
              </w:rPr>
              <w:t>序号</w:t>
            </w:r>
          </w:p>
        </w:tc>
        <w:tc>
          <w:tcPr>
            <w:tcW w:w="1800" w:type="dxa"/>
            <w:vAlign w:val="center"/>
          </w:tcPr>
          <w:p>
            <w:pPr>
              <w:autoSpaceDE w:val="0"/>
              <w:autoSpaceDN w:val="0"/>
              <w:adjustRightInd w:val="0"/>
              <w:snapToGrid w:val="0"/>
              <w:ind w:firstLine="17"/>
              <w:jc w:val="center"/>
              <w:rPr>
                <w:rFonts w:hint="eastAsia"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087" w:type="dxa"/>
            <w:vAlign w:val="center"/>
          </w:tcPr>
          <w:p>
            <w:pPr>
              <w:autoSpaceDE w:val="0"/>
              <w:autoSpaceDN w:val="0"/>
              <w:adjustRightInd w:val="0"/>
              <w:snapToGrid w:val="0"/>
              <w:ind w:firstLine="17"/>
              <w:jc w:val="center"/>
              <w:rPr>
                <w:rFonts w:hint="eastAsia"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50" w:type="dxa"/>
            <w:vAlign w:val="center"/>
          </w:tcPr>
          <w:p>
            <w:pPr>
              <w:autoSpaceDE w:val="0"/>
              <w:autoSpaceDN w:val="0"/>
              <w:adjustRightInd w:val="0"/>
              <w:snapToGrid w:val="0"/>
              <w:ind w:firstLine="17"/>
              <w:jc w:val="center"/>
              <w:rPr>
                <w:rFonts w:hint="eastAsia" w:ascii="宋体" w:hAnsi="宋体" w:cs="宋体"/>
                <w:sz w:val="24"/>
                <w:lang w:eastAsia="en-US"/>
              </w:rPr>
            </w:pPr>
            <w:r>
              <w:rPr>
                <w:rFonts w:hint="eastAsia" w:ascii="宋体" w:hAnsi="宋体" w:cs="宋体"/>
                <w:b/>
                <w:color w:val="000000"/>
                <w:sz w:val="24"/>
                <w:lang w:eastAsia="en-US"/>
              </w:rPr>
              <w:t>收件要求</w:t>
            </w:r>
          </w:p>
        </w:tc>
        <w:tc>
          <w:tcPr>
            <w:tcW w:w="1859" w:type="dxa"/>
            <w:vAlign w:val="center"/>
          </w:tcPr>
          <w:p>
            <w:pPr>
              <w:autoSpaceDE w:val="0"/>
              <w:autoSpaceDN w:val="0"/>
              <w:adjustRightInd w:val="0"/>
              <w:snapToGrid w:val="0"/>
              <w:ind w:firstLine="17"/>
              <w:jc w:val="center"/>
              <w:rPr>
                <w:rFonts w:hint="eastAsia"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586" w:type="dxa"/>
            <w:vAlign w:val="center"/>
          </w:tcPr>
          <w:p>
            <w:pPr>
              <w:pStyle w:val="8"/>
              <w:keepNext w:val="0"/>
              <w:keepLines w:val="0"/>
              <w:pageBreakBefore w:val="0"/>
              <w:widowControl w:val="0"/>
              <w:kinsoku/>
              <w:wordWrap/>
              <w:overflowPunct/>
              <w:topLinePunct w:val="0"/>
              <w:bidi w:val="0"/>
              <w:spacing w:before="109"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800" w:type="dxa"/>
            <w:vAlign w:val="center"/>
          </w:tcPr>
          <w:p>
            <w:pPr>
              <w:pStyle w:val="8"/>
              <w:keepNext w:val="0"/>
              <w:keepLines w:val="0"/>
              <w:pageBreakBefore w:val="0"/>
              <w:widowControl w:val="0"/>
              <w:kinsoku/>
              <w:wordWrap/>
              <w:overflowPunct/>
              <w:topLinePunct w:val="0"/>
              <w:bidi w:val="0"/>
              <w:spacing w:before="109" w:line="28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087" w:type="dxa"/>
            <w:vAlign w:val="center"/>
          </w:tcPr>
          <w:p>
            <w:pPr>
              <w:pStyle w:val="8"/>
              <w:keepNext w:val="0"/>
              <w:keepLines w:val="0"/>
              <w:pageBreakBefore w:val="0"/>
              <w:widowControl w:val="0"/>
              <w:kinsoku/>
              <w:wordWrap/>
              <w:overflowPunct/>
              <w:topLinePunct w:val="0"/>
              <w:bidi w:val="0"/>
              <w:spacing w:before="109"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050" w:type="dxa"/>
            <w:vAlign w:val="center"/>
          </w:tcPr>
          <w:p>
            <w:pPr>
              <w:pStyle w:val="8"/>
              <w:keepNext w:val="0"/>
              <w:keepLines w:val="0"/>
              <w:pageBreakBefore w:val="0"/>
              <w:widowControl w:val="0"/>
              <w:kinsoku/>
              <w:wordWrap/>
              <w:overflowPunct/>
              <w:topLinePunct w:val="0"/>
              <w:bidi w:val="0"/>
              <w:spacing w:before="109"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Align w:val="center"/>
          </w:tcPr>
          <w:p>
            <w:pPr>
              <w:pStyle w:val="8"/>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86" w:type="dxa"/>
            <w:vMerge w:val="restart"/>
            <w:vAlign w:val="center"/>
          </w:tcPr>
          <w:p>
            <w:pPr>
              <w:pStyle w:val="8"/>
              <w:keepNext w:val="0"/>
              <w:keepLines w:val="0"/>
              <w:pageBreakBefore w:val="0"/>
              <w:widowControl w:val="0"/>
              <w:kinsoku/>
              <w:wordWrap/>
              <w:overflowPunct/>
              <w:topLinePunct w:val="0"/>
              <w:bidi w:val="0"/>
              <w:spacing w:before="178"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800" w:type="dxa"/>
            <w:vMerge w:val="restart"/>
            <w:vAlign w:val="center"/>
          </w:tcPr>
          <w:p>
            <w:pPr>
              <w:pStyle w:val="8"/>
              <w:keepNext w:val="0"/>
              <w:keepLines w:val="0"/>
              <w:pageBreakBefore w:val="0"/>
              <w:widowControl w:val="0"/>
              <w:kinsoku/>
              <w:wordWrap/>
              <w:overflowPunct/>
              <w:topLinePunct w:val="0"/>
              <w:bidi w:val="0"/>
              <w:spacing w:before="178" w:line="280" w:lineRule="exact"/>
              <w:ind w:lef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4087" w:type="dxa"/>
            <w:vAlign w:val="center"/>
          </w:tcPr>
          <w:p>
            <w:pPr>
              <w:pStyle w:val="8"/>
              <w:keepNext w:val="0"/>
              <w:keepLines w:val="0"/>
              <w:pageBreakBefore w:val="0"/>
              <w:widowControl w:val="0"/>
              <w:kinsoku/>
              <w:wordWrap/>
              <w:overflowPunct/>
              <w:topLinePunct w:val="0"/>
              <w:bidi w:val="0"/>
              <w:spacing w:before="14" w:line="280" w:lineRule="exact"/>
              <w:ind w:left="14" w:right="67"/>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居民身份证和户口簿；身份证遗失的，提交临时身份证。</w:t>
            </w:r>
          </w:p>
        </w:tc>
        <w:tc>
          <w:tcPr>
            <w:tcW w:w="1050" w:type="dxa"/>
            <w:vAlign w:val="center"/>
          </w:tcPr>
          <w:p>
            <w:pPr>
              <w:pStyle w:val="8"/>
              <w:keepNext w:val="0"/>
              <w:keepLines w:val="0"/>
              <w:pageBreakBefore w:val="0"/>
              <w:widowControl w:val="0"/>
              <w:kinsoku/>
              <w:wordWrap/>
              <w:overflowPunct/>
              <w:topLinePunct w:val="0"/>
              <w:bidi w:val="0"/>
              <w:spacing w:before="173"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Align w:val="center"/>
          </w:tcPr>
          <w:p>
            <w:pPr>
              <w:pStyle w:val="8"/>
              <w:keepNext w:val="0"/>
              <w:keepLines w:val="0"/>
              <w:pageBreakBefore w:val="0"/>
              <w:widowControl w:val="0"/>
              <w:kinsoku/>
              <w:wordWrap/>
              <w:overflowPunct/>
              <w:topLinePunct w:val="0"/>
              <w:bidi w:val="0"/>
              <w:spacing w:before="45"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74" w:line="280" w:lineRule="exact"/>
              <w:ind w:left="14" w:right="67"/>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香港、澳门特别行政区居民身份证、护照，或者来往内地通行证。</w:t>
            </w:r>
          </w:p>
        </w:tc>
        <w:tc>
          <w:tcPr>
            <w:tcW w:w="1050" w:type="dxa"/>
            <w:vAlign w:val="center"/>
          </w:tcPr>
          <w:p>
            <w:pPr>
              <w:pStyle w:val="8"/>
              <w:keepNext w:val="0"/>
              <w:keepLines w:val="0"/>
              <w:pageBreakBefore w:val="0"/>
              <w:widowControl w:val="0"/>
              <w:kinsoku/>
              <w:wordWrap/>
              <w:overflowPunct/>
              <w:topLinePunct w:val="0"/>
              <w:bidi w:val="0"/>
              <w:spacing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Align w:val="center"/>
          </w:tcPr>
          <w:p>
            <w:pPr>
              <w:pStyle w:val="8"/>
              <w:keepNext w:val="0"/>
              <w:keepLines w:val="0"/>
              <w:pageBreakBefore w:val="0"/>
              <w:widowControl w:val="0"/>
              <w:kinsoku/>
              <w:wordWrap/>
              <w:overflowPunct/>
              <w:topLinePunct w:val="0"/>
              <w:bidi w:val="0"/>
              <w:spacing w:before="43" w:line="280" w:lineRule="exact"/>
              <w:ind w:left="13"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lang w:eastAsia="zh-CN"/>
              </w:rPr>
              <w:t>香港、澳门特别行政区自</w:t>
            </w:r>
            <w:r>
              <w:rPr>
                <w:rFonts w:hint="eastAsia" w:ascii="华文仿宋" w:hAnsi="华文仿宋" w:eastAsia="华文仿宋" w:cs="华文仿宋"/>
                <w:sz w:val="21"/>
                <w:szCs w:val="21"/>
              </w:rPr>
              <w:t>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4"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77" w:line="28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台湾居民来往大陆通行证。</w:t>
            </w:r>
          </w:p>
        </w:tc>
        <w:tc>
          <w:tcPr>
            <w:tcW w:w="1050" w:type="dxa"/>
            <w:vAlign w:val="center"/>
          </w:tcPr>
          <w:p>
            <w:pPr>
              <w:pStyle w:val="8"/>
              <w:keepNext w:val="0"/>
              <w:keepLines w:val="0"/>
              <w:pageBreakBefore w:val="0"/>
              <w:widowControl w:val="0"/>
              <w:kinsoku/>
              <w:wordWrap/>
              <w:overflowPunct/>
              <w:topLinePunct w:val="0"/>
              <w:bidi w:val="0"/>
              <w:spacing w:before="177"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Align w:val="center"/>
          </w:tcPr>
          <w:p>
            <w:pPr>
              <w:pStyle w:val="8"/>
              <w:keepNext w:val="0"/>
              <w:keepLines w:val="0"/>
              <w:pageBreakBefore w:val="0"/>
              <w:widowControl w:val="0"/>
              <w:kinsoku/>
              <w:wordWrap/>
              <w:overflowPunct/>
              <w:topLinePunct w:val="0"/>
              <w:bidi w:val="0"/>
              <w:spacing w:before="49"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5" w:line="280" w:lineRule="exact"/>
              <w:ind w:left="14" w:right="307"/>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中华人民共和国护照和国外长期居留身份证件。</w:t>
            </w:r>
          </w:p>
        </w:tc>
        <w:tc>
          <w:tcPr>
            <w:tcW w:w="1050" w:type="dxa"/>
            <w:vAlign w:val="center"/>
          </w:tcPr>
          <w:p>
            <w:pPr>
              <w:pStyle w:val="8"/>
              <w:keepNext w:val="0"/>
              <w:keepLines w:val="0"/>
              <w:pageBreakBefore w:val="0"/>
              <w:widowControl w:val="0"/>
              <w:kinsoku/>
              <w:wordWrap/>
              <w:overflowPunct/>
              <w:topLinePunct w:val="0"/>
              <w:bidi w:val="0"/>
              <w:spacing w:before="173"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Align w:val="center"/>
          </w:tcPr>
          <w:p>
            <w:pPr>
              <w:pStyle w:val="8"/>
              <w:keepNext w:val="0"/>
              <w:keepLines w:val="0"/>
              <w:pageBreakBefore w:val="0"/>
              <w:widowControl w:val="0"/>
              <w:kinsoku/>
              <w:wordWrap/>
              <w:overflowPunct/>
              <w:topLinePunct w:val="0"/>
              <w:bidi w:val="0"/>
              <w:spacing w:line="280" w:lineRule="exact"/>
              <w:ind w:right="37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28" w:line="280" w:lineRule="exact"/>
              <w:ind w:left="14" w:right="67"/>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外籍自然人的提交中国政府主管机关签发的居留证件，或者其所在国护照（汉字译本）。</w:t>
            </w:r>
          </w:p>
        </w:tc>
        <w:tc>
          <w:tcPr>
            <w:tcW w:w="1050" w:type="dxa"/>
            <w:vAlign w:val="center"/>
          </w:tcPr>
          <w:p>
            <w:pPr>
              <w:pStyle w:val="8"/>
              <w:keepNext w:val="0"/>
              <w:keepLines w:val="0"/>
              <w:pageBreakBefore w:val="0"/>
              <w:widowControl w:val="0"/>
              <w:kinsoku/>
              <w:wordWrap/>
              <w:overflowPunct/>
              <w:topLinePunct w:val="0"/>
              <w:bidi w:val="0"/>
              <w:spacing w:before="184"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Align w:val="center"/>
          </w:tcPr>
          <w:p>
            <w:pPr>
              <w:pStyle w:val="8"/>
              <w:keepNext w:val="0"/>
              <w:keepLines w:val="0"/>
              <w:pageBreakBefore w:val="0"/>
              <w:widowControl w:val="0"/>
              <w:kinsoku/>
              <w:wordWrap/>
              <w:overflowPunct/>
              <w:topLinePunct w:val="0"/>
              <w:bidi w:val="0"/>
              <w:spacing w:before="4" w:line="280" w:lineRule="exact"/>
              <w:ind w:left="13" w:right="17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73"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军官证、士官证等。</w:t>
            </w:r>
          </w:p>
        </w:tc>
        <w:tc>
          <w:tcPr>
            <w:tcW w:w="1050" w:type="dxa"/>
            <w:vAlign w:val="center"/>
          </w:tcPr>
          <w:p>
            <w:pPr>
              <w:pStyle w:val="8"/>
              <w:keepNext w:val="0"/>
              <w:keepLines w:val="0"/>
              <w:pageBreakBefore w:val="0"/>
              <w:widowControl w:val="0"/>
              <w:kinsoku/>
              <w:wordWrap/>
              <w:overflowPunct/>
              <w:topLinePunct w:val="0"/>
              <w:bidi w:val="0"/>
              <w:spacing w:before="173"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Align w:val="center"/>
          </w:tcPr>
          <w:p>
            <w:pPr>
              <w:pStyle w:val="8"/>
              <w:keepNext w:val="0"/>
              <w:keepLines w:val="0"/>
              <w:pageBreakBefore w:val="0"/>
              <w:widowControl w:val="0"/>
              <w:kinsoku/>
              <w:wordWrap/>
              <w:overflowPunct/>
              <w:topLinePunct w:val="0"/>
              <w:bidi w:val="0"/>
              <w:spacing w:before="43" w:line="280" w:lineRule="exact"/>
              <w:ind w:left="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现役军人提</w:t>
            </w:r>
            <w:r>
              <w:rPr>
                <w:rFonts w:hint="eastAsia" w:ascii="华文仿宋" w:hAnsi="华文仿宋" w:eastAsia="华文仿宋" w:cs="华文仿宋"/>
                <w:w w:val="99"/>
                <w:sz w:val="21"/>
                <w:szCs w:val="21"/>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50"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050" w:type="dxa"/>
            <w:vAlign w:val="center"/>
          </w:tcPr>
          <w:p>
            <w:pPr>
              <w:pStyle w:val="8"/>
              <w:keepNext w:val="0"/>
              <w:keepLines w:val="0"/>
              <w:pageBreakBefore w:val="0"/>
              <w:widowControl w:val="0"/>
              <w:kinsoku/>
              <w:wordWrap/>
              <w:overflowPunct/>
              <w:topLinePunct w:val="0"/>
              <w:bidi w:val="0"/>
              <w:spacing w:before="150"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Merge w:val="restart"/>
            <w:vAlign w:val="center"/>
          </w:tcPr>
          <w:p>
            <w:pPr>
              <w:pStyle w:val="8"/>
              <w:keepNext w:val="0"/>
              <w:keepLines w:val="0"/>
              <w:pageBreakBefore w:val="0"/>
              <w:widowControl w:val="0"/>
              <w:kinsoku/>
              <w:wordWrap/>
              <w:overflowPunct/>
              <w:topLinePunct w:val="0"/>
              <w:bidi w:val="0"/>
              <w:spacing w:before="10" w:line="280" w:lineRule="exact"/>
              <w:jc w:val="both"/>
              <w:textAlignment w:val="auto"/>
              <w:rPr>
                <w:rFonts w:hint="eastAsia" w:ascii="华文仿宋" w:hAnsi="华文仿宋" w:eastAsia="华文仿宋" w:cs="华文仿宋"/>
                <w:sz w:val="21"/>
                <w:szCs w:val="21"/>
              </w:rPr>
            </w:pPr>
          </w:p>
          <w:p>
            <w:pPr>
              <w:pStyle w:val="8"/>
              <w:keepNext w:val="0"/>
              <w:keepLines w:val="0"/>
              <w:pageBreakBefore w:val="0"/>
              <w:widowControl w:val="0"/>
              <w:kinsoku/>
              <w:wordWrap/>
              <w:overflowPunct/>
              <w:topLinePunct w:val="0"/>
              <w:bidi w:val="0"/>
              <w:spacing w:line="280" w:lineRule="exact"/>
              <w:ind w:left="13" w:right="17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 w:hRule="atLeast"/>
        </w:trPr>
        <w:tc>
          <w:tcPr>
            <w:tcW w:w="586"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64"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050" w:type="dxa"/>
            <w:vAlign w:val="center"/>
          </w:tcPr>
          <w:p>
            <w:pPr>
              <w:pStyle w:val="8"/>
              <w:keepNext w:val="0"/>
              <w:keepLines w:val="0"/>
              <w:pageBreakBefore w:val="0"/>
              <w:widowControl w:val="0"/>
              <w:kinsoku/>
              <w:wordWrap/>
              <w:overflowPunct/>
              <w:topLinePunct w:val="0"/>
              <w:bidi w:val="0"/>
              <w:spacing w:before="164"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859"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86" w:type="dxa"/>
            <w:vAlign w:val="center"/>
          </w:tcPr>
          <w:p>
            <w:pPr>
              <w:pStyle w:val="8"/>
              <w:keepNext w:val="0"/>
              <w:keepLines w:val="0"/>
              <w:pageBreakBefore w:val="0"/>
              <w:widowControl w:val="0"/>
              <w:kinsoku/>
              <w:wordWrap/>
              <w:overflowPunct/>
              <w:topLinePunct w:val="0"/>
              <w:bidi w:val="0"/>
              <w:spacing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800" w:type="dxa"/>
            <w:vAlign w:val="center"/>
          </w:tcPr>
          <w:p>
            <w:pPr>
              <w:keepNext w:val="0"/>
              <w:keepLines w:val="0"/>
              <w:pageBreakBefore w:val="0"/>
              <w:widowControl w:val="0"/>
              <w:tabs>
                <w:tab w:val="left" w:pos="312"/>
              </w:tabs>
              <w:kinsoku/>
              <w:wordWrap/>
              <w:overflowPunct/>
              <w:topLinePunct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087" w:type="dxa"/>
            <w:vAlign w:val="center"/>
          </w:tcPr>
          <w:p>
            <w:pPr>
              <w:pStyle w:val="8"/>
              <w:keepNext w:val="0"/>
              <w:keepLines w:val="0"/>
              <w:pageBreakBefore w:val="0"/>
              <w:widowControl w:val="0"/>
              <w:kinsoku/>
              <w:wordWrap/>
              <w:overflowPunct/>
              <w:topLinePunct w:val="0"/>
              <w:bidi w:val="0"/>
              <w:spacing w:before="16" w:line="280" w:lineRule="exact"/>
              <w:ind w:left="14" w:right="26"/>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12"/>
                <w:sz w:val="21"/>
                <w:szCs w:val="21"/>
                <w:lang w:eastAsia="zh-CN"/>
              </w:rPr>
              <w:t>《</w:t>
            </w:r>
            <w:r>
              <w:rPr>
                <w:rFonts w:hint="eastAsia" w:ascii="华文仿宋" w:hAnsi="华文仿宋" w:eastAsia="华文仿宋" w:cs="华文仿宋"/>
                <w:sz w:val="21"/>
                <w:szCs w:val="21"/>
                <w:lang w:eastAsia="zh-CN"/>
              </w:rPr>
              <w:t>不动产权证书》或《集体土地使用证》、《房屋所有权证》或《房地产权证》，共有的房屋还应提交其他共有证等。</w:t>
            </w:r>
          </w:p>
        </w:tc>
        <w:tc>
          <w:tcPr>
            <w:tcW w:w="1050" w:type="dxa"/>
            <w:vAlign w:val="center"/>
          </w:tcPr>
          <w:p>
            <w:pPr>
              <w:pStyle w:val="8"/>
              <w:keepNext w:val="0"/>
              <w:keepLines w:val="0"/>
              <w:pageBreakBefore w:val="0"/>
              <w:widowControl w:val="0"/>
              <w:kinsoku/>
              <w:wordWrap/>
              <w:overflowPunct/>
              <w:topLinePunct w:val="0"/>
              <w:bidi w:val="0"/>
              <w:spacing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Align w:val="center"/>
          </w:tcPr>
          <w:p>
            <w:pPr>
              <w:pStyle w:val="8"/>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86"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1" w:line="28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800" w:type="dxa"/>
            <w:tcBorders>
              <w:bottom w:val="single" w:color="auto" w:sz="4" w:space="0"/>
            </w:tcBorders>
            <w:vAlign w:val="center"/>
          </w:tcPr>
          <w:p>
            <w:pPr>
              <w:pStyle w:val="8"/>
              <w:keepNext w:val="0"/>
              <w:keepLines w:val="0"/>
              <w:pageBreakBefore w:val="0"/>
              <w:widowControl w:val="0"/>
              <w:kinsoku/>
              <w:wordWrap/>
              <w:overflowPunct/>
              <w:topLinePunct w:val="0"/>
              <w:bidi w:val="0"/>
              <w:spacing w:line="280" w:lineRule="exact"/>
              <w:ind w:left="15" w:right="9"/>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宅基地、房屋灭失材料</w:t>
            </w:r>
          </w:p>
        </w:tc>
        <w:tc>
          <w:tcPr>
            <w:tcW w:w="4087" w:type="dxa"/>
            <w:vAlign w:val="center"/>
          </w:tcPr>
          <w:p>
            <w:pPr>
              <w:pStyle w:val="8"/>
              <w:keepNext w:val="0"/>
              <w:keepLines w:val="0"/>
              <w:pageBreakBefore w:val="0"/>
              <w:widowControl w:val="0"/>
              <w:kinsoku/>
              <w:wordWrap/>
              <w:overflowPunct/>
              <w:topLinePunct w:val="0"/>
              <w:bidi w:val="0"/>
              <w:spacing w:before="173" w:line="28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宅基地、房屋灭失的材料</w:t>
            </w:r>
            <w:bookmarkStart w:id="0" w:name="_GoBack"/>
            <w:bookmarkEnd w:id="0"/>
          </w:p>
        </w:tc>
        <w:tc>
          <w:tcPr>
            <w:tcW w:w="1050" w:type="dxa"/>
            <w:vAlign w:val="center"/>
          </w:tcPr>
          <w:p>
            <w:pPr>
              <w:pStyle w:val="8"/>
              <w:keepNext w:val="0"/>
              <w:keepLines w:val="0"/>
              <w:pageBreakBefore w:val="0"/>
              <w:widowControl w:val="0"/>
              <w:kinsoku/>
              <w:wordWrap/>
              <w:overflowPunct/>
              <w:topLinePunct w:val="0"/>
              <w:bidi w:val="0"/>
              <w:spacing w:before="173"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Align w:val="center"/>
          </w:tcPr>
          <w:p>
            <w:pPr>
              <w:pStyle w:val="8"/>
              <w:keepNext w:val="0"/>
              <w:keepLines w:val="0"/>
              <w:pageBreakBefore w:val="0"/>
              <w:widowControl w:val="0"/>
              <w:kinsoku/>
              <w:wordWrap/>
              <w:overflowPunct/>
              <w:topLinePunct w:val="0"/>
              <w:bidi w:val="0"/>
              <w:spacing w:before="43" w:line="280" w:lineRule="exact"/>
              <w:ind w:left="13" w:righ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5"/>
                <w:w w:val="95"/>
                <w:sz w:val="21"/>
                <w:szCs w:val="21"/>
                <w:lang w:eastAsia="zh-CN"/>
              </w:rPr>
              <w:t>宅基地、房屋</w:t>
            </w:r>
            <w:r>
              <w:rPr>
                <w:rFonts w:hint="eastAsia" w:ascii="华文仿宋" w:hAnsi="华文仿宋" w:eastAsia="华文仿宋" w:cs="华文仿宋"/>
                <w:w w:val="95"/>
                <w:sz w:val="21"/>
                <w:szCs w:val="21"/>
                <w:lang w:eastAsia="zh-CN"/>
              </w:rPr>
              <w:t>灭失的需提交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586" w:type="dxa"/>
            <w:vMerge w:val="restart"/>
            <w:tcBorders>
              <w:top w:val="single" w:color="auto" w:sz="4" w:space="0"/>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800" w:type="dxa"/>
            <w:vMerge w:val="restart"/>
            <w:tcBorders>
              <w:top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权利人放弃权利的书面文件。地役权人同意注销的书面文件</w:t>
            </w:r>
          </w:p>
        </w:tc>
        <w:tc>
          <w:tcPr>
            <w:tcW w:w="4087" w:type="dxa"/>
            <w:vAlign w:val="center"/>
          </w:tcPr>
          <w:p>
            <w:pPr>
              <w:pStyle w:val="8"/>
              <w:keepNext w:val="0"/>
              <w:keepLines w:val="0"/>
              <w:pageBreakBefore w:val="0"/>
              <w:widowControl w:val="0"/>
              <w:kinsoku/>
              <w:wordWrap/>
              <w:overflowPunct/>
              <w:topLinePunct w:val="0"/>
              <w:bidi w:val="0"/>
              <w:spacing w:before="99" w:line="28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权利人放弃权利的书面文件。</w:t>
            </w:r>
          </w:p>
        </w:tc>
        <w:tc>
          <w:tcPr>
            <w:tcW w:w="1050" w:type="dxa"/>
            <w:vMerge w:val="restart"/>
            <w:vAlign w:val="center"/>
          </w:tcPr>
          <w:p>
            <w:pPr>
              <w:pStyle w:val="8"/>
              <w:keepNext w:val="0"/>
              <w:keepLines w:val="0"/>
              <w:pageBreakBefore w:val="0"/>
              <w:widowControl w:val="0"/>
              <w:kinsoku/>
              <w:wordWrap/>
              <w:overflowPunct/>
              <w:topLinePunct w:val="0"/>
              <w:bidi w:val="0"/>
              <w:spacing w:line="280" w:lineRule="exact"/>
              <w:ind w:left="34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Merge w:val="restart"/>
            <w:vAlign w:val="center"/>
          </w:tcPr>
          <w:p>
            <w:pPr>
              <w:pStyle w:val="8"/>
              <w:keepNext w:val="0"/>
              <w:keepLines w:val="0"/>
              <w:pageBreakBefore w:val="0"/>
              <w:widowControl w:val="0"/>
              <w:kinsoku/>
              <w:wordWrap/>
              <w:overflowPunct/>
              <w:topLinePunct w:val="0"/>
              <w:bidi w:val="0"/>
              <w:spacing w:before="111" w:line="280" w:lineRule="exact"/>
              <w:ind w:left="13" w:righ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5"/>
                <w:sz w:val="21"/>
                <w:szCs w:val="21"/>
                <w:lang w:eastAsia="zh-CN"/>
              </w:rPr>
              <w:t>权利人放弃宅基地使用权及房屋所有权的</w:t>
            </w:r>
            <w:r>
              <w:rPr>
                <w:rFonts w:hint="eastAsia" w:ascii="华文仿宋" w:hAnsi="华文仿宋" w:eastAsia="华文仿宋" w:cs="华文仿宋"/>
                <w:spacing w:val="-8"/>
                <w:sz w:val="21"/>
                <w:szCs w:val="21"/>
                <w:lang w:eastAsia="zh-CN"/>
              </w:rPr>
              <w:t>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86" w:type="dxa"/>
            <w:vMerge w:val="continue"/>
            <w:tcBorders>
              <w:top w:val="nil"/>
              <w:bottom w:val="single" w:color="auto" w:sz="4" w:space="0"/>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nil"/>
              <w:bottom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5" w:line="280" w:lineRule="exact"/>
              <w:ind w:left="14" w:right="67"/>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被放弃的宅基地、房屋设有地役权的，提交地役权人同意注销的书面材料。</w:t>
            </w:r>
          </w:p>
        </w:tc>
        <w:tc>
          <w:tcPr>
            <w:tcW w:w="1050"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59" w:type="dxa"/>
            <w:vMerge w:val="continue"/>
            <w:tcBorders>
              <w:top w:val="nil"/>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trPr>
        <w:tc>
          <w:tcPr>
            <w:tcW w:w="58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spacing w:line="280" w:lineRule="exact"/>
              <w:ind w:firstLine="28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8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人民政府生效的决定书</w:t>
            </w:r>
          </w:p>
        </w:tc>
        <w:tc>
          <w:tcPr>
            <w:tcW w:w="4087" w:type="dxa"/>
            <w:vAlign w:val="center"/>
          </w:tcPr>
          <w:p>
            <w:pPr>
              <w:pStyle w:val="8"/>
              <w:keepNext w:val="0"/>
              <w:keepLines w:val="0"/>
              <w:pageBreakBefore w:val="0"/>
              <w:widowControl w:val="0"/>
              <w:kinsoku/>
              <w:wordWrap/>
              <w:overflowPunct/>
              <w:topLinePunct w:val="0"/>
              <w:bidi w:val="0"/>
              <w:spacing w:line="28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人民政府做出的生效决定书。</w:t>
            </w:r>
          </w:p>
        </w:tc>
        <w:tc>
          <w:tcPr>
            <w:tcW w:w="1050" w:type="dxa"/>
            <w:vAlign w:val="center"/>
          </w:tcPr>
          <w:p>
            <w:pPr>
              <w:pStyle w:val="8"/>
              <w:keepNext w:val="0"/>
              <w:keepLines w:val="0"/>
              <w:pageBreakBefore w:val="0"/>
              <w:widowControl w:val="0"/>
              <w:kinsoku/>
              <w:wordWrap/>
              <w:overflowPunct/>
              <w:topLinePunct w:val="0"/>
              <w:bidi w:val="0"/>
              <w:spacing w:line="280" w:lineRule="exact"/>
              <w:ind w:left="81" w:right="70"/>
              <w:jc w:val="center"/>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原件</w:t>
            </w:r>
          </w:p>
        </w:tc>
        <w:tc>
          <w:tcPr>
            <w:tcW w:w="1859" w:type="dxa"/>
            <w:vAlign w:val="center"/>
          </w:tcPr>
          <w:p>
            <w:pPr>
              <w:pStyle w:val="8"/>
              <w:keepNext w:val="0"/>
              <w:keepLines w:val="0"/>
              <w:pageBreakBefore w:val="0"/>
              <w:widowControl w:val="0"/>
              <w:kinsoku/>
              <w:wordWrap/>
              <w:overflowPunct/>
              <w:topLinePunct w:val="0"/>
              <w:bidi w:val="0"/>
              <w:spacing w:before="42" w:line="280" w:lineRule="exact"/>
              <w:ind w:left="13" w:righ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3"/>
                <w:w w:val="95"/>
                <w:sz w:val="21"/>
                <w:szCs w:val="21"/>
                <w:lang w:eastAsia="zh-CN"/>
              </w:rPr>
              <w:t>依法没收、征</w:t>
            </w:r>
            <w:r>
              <w:rPr>
                <w:rFonts w:hint="eastAsia" w:ascii="华文仿宋" w:hAnsi="华文仿宋" w:eastAsia="华文仿宋" w:cs="华文仿宋"/>
                <w:w w:val="95"/>
                <w:sz w:val="21"/>
                <w:szCs w:val="21"/>
                <w:lang w:eastAsia="zh-CN"/>
              </w:rPr>
              <w:t>收、收回的需</w:t>
            </w:r>
            <w:r>
              <w:rPr>
                <w:rFonts w:hint="eastAsia" w:ascii="华文仿宋" w:hAnsi="华文仿宋" w:eastAsia="华文仿宋" w:cs="华文仿宋"/>
                <w:sz w:val="21"/>
                <w:szCs w:val="21"/>
                <w:lang w:eastAsia="zh-CN"/>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586" w:type="dxa"/>
            <w:vMerge w:val="restart"/>
            <w:tcBorders>
              <w:top w:val="single" w:color="auto" w:sz="4" w:space="0"/>
            </w:tcBorders>
            <w:vAlign w:val="center"/>
          </w:tcPr>
          <w:p>
            <w:pPr>
              <w:keepNext w:val="0"/>
              <w:keepLines w:val="0"/>
              <w:pageBreakBefore w:val="0"/>
              <w:widowControl w:val="0"/>
              <w:kinsoku/>
              <w:wordWrap/>
              <w:overflowPunct/>
              <w:topLinePunct w:val="0"/>
              <w:bidi w:val="0"/>
              <w:spacing w:line="280" w:lineRule="exact"/>
              <w:ind w:firstLine="210" w:firstLineChars="100"/>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800" w:type="dxa"/>
            <w:vMerge w:val="restart"/>
            <w:tcBorders>
              <w:top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4087" w:type="dxa"/>
            <w:vAlign w:val="center"/>
          </w:tcPr>
          <w:p>
            <w:pPr>
              <w:pStyle w:val="8"/>
              <w:keepNext w:val="0"/>
              <w:keepLines w:val="0"/>
              <w:pageBreakBefore w:val="0"/>
              <w:widowControl w:val="0"/>
              <w:kinsoku/>
              <w:wordWrap/>
              <w:overflowPunct/>
              <w:topLinePunct w:val="0"/>
              <w:bidi w:val="0"/>
              <w:spacing w:before="171" w:line="28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人民法院或者仲裁委员会生效的法律文书。</w:t>
            </w:r>
          </w:p>
        </w:tc>
        <w:tc>
          <w:tcPr>
            <w:tcW w:w="1050" w:type="dxa"/>
            <w:vAlign w:val="center"/>
          </w:tcPr>
          <w:p>
            <w:pPr>
              <w:pStyle w:val="8"/>
              <w:keepNext w:val="0"/>
              <w:keepLines w:val="0"/>
              <w:pageBreakBefore w:val="0"/>
              <w:widowControl w:val="0"/>
              <w:kinsoku/>
              <w:wordWrap/>
              <w:overflowPunct/>
              <w:topLinePunct w:val="0"/>
              <w:bidi w:val="0"/>
              <w:spacing w:before="171"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Merge w:val="restart"/>
            <w:vAlign w:val="center"/>
          </w:tcPr>
          <w:p>
            <w:pPr>
              <w:pStyle w:val="8"/>
              <w:keepNext w:val="0"/>
              <w:keepLines w:val="0"/>
              <w:pageBreakBefore w:val="0"/>
              <w:widowControl w:val="0"/>
              <w:kinsoku/>
              <w:wordWrap/>
              <w:overflowPunct/>
              <w:topLinePunct w:val="0"/>
              <w:bidi w:val="0"/>
              <w:spacing w:before="15" w:line="280" w:lineRule="exact"/>
              <w:ind w:left="13" w:righ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pacing w:val="-5"/>
                <w:sz w:val="21"/>
                <w:szCs w:val="21"/>
                <w:lang w:eastAsia="zh-CN"/>
              </w:rPr>
              <w:t>因人民法院或仲裁委员会生效法律文书导致权属发生转</w:t>
            </w:r>
            <w:r>
              <w:rPr>
                <w:rFonts w:hint="eastAsia" w:ascii="华文仿宋" w:hAnsi="华文仿宋" w:eastAsia="华文仿宋" w:cs="华文仿宋"/>
                <w:spacing w:val="-6"/>
                <w:sz w:val="21"/>
                <w:szCs w:val="21"/>
                <w:lang w:eastAsia="zh-CN"/>
              </w:rPr>
              <w:t>移的需提交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586"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p>
        </w:tc>
        <w:tc>
          <w:tcPr>
            <w:tcW w:w="180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087" w:type="dxa"/>
            <w:vAlign w:val="center"/>
          </w:tcPr>
          <w:p>
            <w:pPr>
              <w:pStyle w:val="8"/>
              <w:keepNext w:val="0"/>
              <w:keepLines w:val="0"/>
              <w:pageBreakBefore w:val="0"/>
              <w:widowControl w:val="0"/>
              <w:kinsoku/>
              <w:wordWrap/>
              <w:overflowPunct/>
              <w:topLinePunct w:val="0"/>
              <w:bidi w:val="0"/>
              <w:spacing w:before="134" w:line="28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协助执行通知书。</w:t>
            </w:r>
          </w:p>
        </w:tc>
        <w:tc>
          <w:tcPr>
            <w:tcW w:w="1050" w:type="dxa"/>
            <w:vAlign w:val="center"/>
          </w:tcPr>
          <w:p>
            <w:pPr>
              <w:pStyle w:val="8"/>
              <w:keepNext w:val="0"/>
              <w:keepLines w:val="0"/>
              <w:pageBreakBefore w:val="0"/>
              <w:widowControl w:val="0"/>
              <w:kinsoku/>
              <w:wordWrap/>
              <w:overflowPunct/>
              <w:topLinePunct w:val="0"/>
              <w:bidi w:val="0"/>
              <w:spacing w:before="134" w:line="280" w:lineRule="exact"/>
              <w:ind w:left="81" w:right="7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859" w:type="dxa"/>
            <w:vMerge w:val="continue"/>
            <w:tcBorders>
              <w:top w:val="nil"/>
              <w:bottom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586" w:type="dxa"/>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8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宅基地使用权及房屋所有权消灭的材料</w:t>
            </w:r>
          </w:p>
        </w:tc>
        <w:tc>
          <w:tcPr>
            <w:tcW w:w="4087" w:type="dxa"/>
            <w:vAlign w:val="center"/>
          </w:tcPr>
          <w:p>
            <w:pPr>
              <w:pStyle w:val="8"/>
              <w:keepNext w:val="0"/>
              <w:keepLines w:val="0"/>
              <w:pageBreakBefore w:val="0"/>
              <w:widowControl w:val="0"/>
              <w:kinsoku/>
              <w:wordWrap/>
              <w:overflowPunct/>
              <w:topLinePunct w:val="0"/>
              <w:bidi w:val="0"/>
              <w:spacing w:before="134" w:line="280" w:lineRule="exact"/>
              <w:ind w:left="14"/>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宅基地使用权及房屋所有权消灭的材料</w:t>
            </w:r>
          </w:p>
        </w:tc>
        <w:tc>
          <w:tcPr>
            <w:tcW w:w="1050" w:type="dxa"/>
            <w:vAlign w:val="center"/>
          </w:tcPr>
          <w:p>
            <w:pPr>
              <w:pStyle w:val="8"/>
              <w:keepNext w:val="0"/>
              <w:keepLines w:val="0"/>
              <w:pageBreakBefore w:val="0"/>
              <w:widowControl w:val="0"/>
              <w:kinsoku/>
              <w:wordWrap/>
              <w:overflowPunct/>
              <w:topLinePunct w:val="0"/>
              <w:bidi w:val="0"/>
              <w:spacing w:before="134" w:line="280" w:lineRule="exact"/>
              <w:ind w:left="81" w:right="70"/>
              <w:jc w:val="center"/>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原件</w:t>
            </w:r>
          </w:p>
        </w:tc>
        <w:tc>
          <w:tcPr>
            <w:tcW w:w="1859" w:type="dxa"/>
            <w:tcBorders>
              <w:top w:val="single" w:color="auto" w:sz="4" w:space="0"/>
            </w:tcBorders>
            <w:vAlign w:val="center"/>
          </w:tcPr>
          <w:p>
            <w:pPr>
              <w:keepNext w:val="0"/>
              <w:keepLines w:val="0"/>
              <w:pageBreakBefore w:val="0"/>
              <w:widowControl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r>
    </w:tbl>
    <w:p>
      <w:pPr>
        <w:keepNext w:val="0"/>
        <w:keepLines w:val="0"/>
        <w:pageBreakBefore w:val="0"/>
        <w:widowControl w:val="0"/>
        <w:kinsoku/>
        <w:wordWrap/>
        <w:overflowPunct/>
        <w:topLinePunct w:val="0"/>
        <w:autoSpaceDE w:val="0"/>
        <w:autoSpaceDN w:val="0"/>
        <w:bidi w:val="0"/>
        <w:spacing w:before="39" w:line="28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kinsoku/>
        <w:wordWrap/>
        <w:overflowPunct/>
        <w:topLinePunct w:val="0"/>
        <w:autoSpaceDE w:val="0"/>
        <w:autoSpaceDN w:val="0"/>
        <w:bidi w:val="0"/>
        <w:spacing w:before="39" w:line="280" w:lineRule="exact"/>
        <w:ind w:left="15" w:right="119"/>
        <w:jc w:val="left"/>
        <w:textAlignment w:val="auto"/>
        <w:rPr>
          <w:rFonts w:hint="eastAsia" w:ascii="华文仿宋" w:hAnsi="华文仿宋" w:eastAsia="华文仿宋" w:cs="华文仿宋"/>
          <w:color w:val="FF0000"/>
          <w:sz w:val="21"/>
          <w:szCs w:val="21"/>
        </w:rPr>
      </w:pPr>
      <w:r>
        <w:rPr>
          <w:rFonts w:hint="eastAsia" w:ascii="华文仿宋" w:hAnsi="华文仿宋" w:eastAsia="华文仿宋" w:cs="华文仿宋"/>
          <w:sz w:val="21"/>
          <w:szCs w:val="21"/>
        </w:rPr>
        <w:t xml:space="preserve">    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1258F9"/>
    <w:rsid w:val="00067A72"/>
    <w:rsid w:val="001258F9"/>
    <w:rsid w:val="003224D6"/>
    <w:rsid w:val="00577964"/>
    <w:rsid w:val="007F343F"/>
    <w:rsid w:val="00A75188"/>
    <w:rsid w:val="00BE52F9"/>
    <w:rsid w:val="0FD5606D"/>
    <w:rsid w:val="4ED40086"/>
    <w:rsid w:val="574F6FB0"/>
    <w:rsid w:val="5D3F048D"/>
    <w:rsid w:val="5F1F57BC"/>
    <w:rsid w:val="6C022DB1"/>
    <w:rsid w:val="6FD14060"/>
    <w:rsid w:val="7105198D"/>
    <w:rsid w:val="748F6002"/>
    <w:rsid w:val="BF7F4D34"/>
    <w:rsid w:val="FCBD6760"/>
    <w:rsid w:val="FD777938"/>
    <w:rsid w:val="FEF5AF00"/>
    <w:rsid w:val="FFBD3D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182</Words>
  <Characters>1039</Characters>
  <Lines>8</Lines>
  <Paragraphs>2</Paragraphs>
  <TotalTime>11</TotalTime>
  <ScaleCrop>false</ScaleCrop>
  <LinksUpToDate>false</LinksUpToDate>
  <CharactersWithSpaces>1219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2023-05-24T16:46:09Z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