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afterLines="50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《汕头市中阳大道两侧片区控制性详细规划</w:t>
      </w:r>
    </w:p>
    <w:p>
      <w:pPr>
        <w:snapToGrid w:val="0"/>
        <w:spacing w:after="156" w:afterLines="50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（龙湖区LH—038编制单元）》</w:t>
      </w:r>
    </w:p>
    <w:p>
      <w:pPr>
        <w:snapToGrid w:val="0"/>
        <w:spacing w:after="156" w:afterLines="50"/>
        <w:jc w:val="center"/>
        <w:rPr>
          <w:rFonts w:hint="eastAsia"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简介</w:t>
      </w:r>
    </w:p>
    <w:p>
      <w:pPr>
        <w:snapToGrid w:val="0"/>
        <w:spacing w:after="156" w:afterLines="50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pStyle w:val="5"/>
        <w:numPr>
          <w:ilvl w:val="0"/>
          <w:numId w:val="1"/>
        </w:numPr>
        <w:spacing w:before="156" w:after="156"/>
        <w:rPr>
          <w:b/>
          <w:bCs/>
        </w:rPr>
      </w:pPr>
      <w:r>
        <w:rPr>
          <w:rFonts w:hint="eastAsia"/>
          <w:b/>
          <w:bCs/>
        </w:rPr>
        <w:t>规划范围</w:t>
      </w:r>
    </w:p>
    <w:p>
      <w:pPr>
        <w:pStyle w:val="6"/>
        <w:tabs>
          <w:tab w:val="clear" w:pos="1134"/>
        </w:tabs>
        <w:spacing w:before="156" w:after="156"/>
        <w:ind w:firstLine="495"/>
        <w:rPr>
          <w:rFonts w:hint="eastAsia" w:cs="宋体"/>
          <w:kern w:val="0"/>
        </w:rPr>
      </w:pPr>
      <w:r>
        <w:rPr>
          <w:rFonts w:hint="eastAsia" w:cs="宋体"/>
          <w:kern w:val="0"/>
        </w:rPr>
        <w:t>本</w:t>
      </w:r>
      <w:r>
        <w:rPr>
          <w:rFonts w:hint="eastAsia" w:cs="宋体"/>
          <w:kern w:val="0"/>
          <w:lang w:eastAsia="zh-CN"/>
        </w:rPr>
        <w:t>规划位于中阳大道两侧片区，为</w:t>
      </w:r>
      <w:bookmarkStart w:id="5" w:name="_GoBack"/>
      <w:bookmarkEnd w:id="5"/>
      <w:r>
        <w:rPr>
          <w:rFonts w:hint="eastAsia" w:cs="宋体"/>
          <w:kern w:val="0"/>
          <w:lang w:eastAsia="zh-CN"/>
        </w:rPr>
        <w:t>龙湖区控规全覆盖</w:t>
      </w:r>
      <w:r>
        <w:rPr>
          <w:rFonts w:hint="eastAsia" w:cs="宋体"/>
          <w:kern w:val="0"/>
        </w:rPr>
        <w:t>LH</w:t>
      </w:r>
      <w:r>
        <w:rPr>
          <w:rFonts w:cs="宋体"/>
          <w:kern w:val="0"/>
        </w:rPr>
        <w:t>—</w:t>
      </w:r>
      <w:r>
        <w:rPr>
          <w:rFonts w:hint="eastAsia" w:cs="宋体"/>
          <w:kern w:val="0"/>
        </w:rPr>
        <w:t>038编制单元，具体范围为：</w:t>
      </w:r>
      <w:r>
        <w:rPr>
          <w:rFonts w:hint="eastAsia"/>
        </w:rPr>
        <w:t>西临新津河、东至南岭路、北靠洞庭湖路、南至鄱阳湖路，</w:t>
      </w:r>
      <w:r>
        <w:rPr>
          <w:rFonts w:hint="eastAsia" w:cs="宋体"/>
          <w:kern w:val="0"/>
        </w:rPr>
        <w:t>编制单元用地面积185.67公顷。</w:t>
      </w:r>
    </w:p>
    <w:p>
      <w:pPr>
        <w:pStyle w:val="5"/>
        <w:numPr>
          <w:ilvl w:val="0"/>
          <w:numId w:val="1"/>
        </w:numPr>
        <w:spacing w:before="156" w:after="156"/>
        <w:rPr>
          <w:rFonts w:hint="eastAsia"/>
          <w:b/>
          <w:bCs/>
        </w:rPr>
      </w:pPr>
      <w:r>
        <w:rPr>
          <w:rFonts w:hint="eastAsia"/>
          <w:b/>
          <w:bCs/>
        </w:rPr>
        <w:t>发展目标</w:t>
      </w:r>
    </w:p>
    <w:p>
      <w:pPr>
        <w:pStyle w:val="6"/>
        <w:tabs>
          <w:tab w:val="clear" w:pos="1134"/>
        </w:tabs>
        <w:spacing w:before="156" w:after="156"/>
        <w:ind w:firstLine="495"/>
        <w:rPr>
          <w:rFonts w:hint="eastAsia" w:cs="宋体"/>
          <w:kern w:val="0"/>
        </w:rPr>
      </w:pPr>
      <w:r>
        <w:rPr>
          <w:rFonts w:hint="eastAsia" w:cs="宋体"/>
          <w:kern w:val="0"/>
        </w:rPr>
        <w:t>积极主动接轨东海岸新城的建设，使片区发展成为特色突出、生态环境良好、生活配套设施齐全的综合性片区，推进片区城市化进程。</w:t>
      </w:r>
    </w:p>
    <w:p>
      <w:pPr>
        <w:pStyle w:val="5"/>
        <w:numPr>
          <w:ilvl w:val="0"/>
          <w:numId w:val="1"/>
        </w:numPr>
        <w:spacing w:before="156" w:after="156"/>
        <w:rPr>
          <w:b/>
          <w:bCs/>
        </w:rPr>
      </w:pPr>
      <w:bookmarkStart w:id="0" w:name="_Toc3466726"/>
      <w:bookmarkStart w:id="1" w:name="_Toc9603603"/>
      <w:bookmarkStart w:id="2" w:name="_Toc3467185"/>
      <w:bookmarkStart w:id="3" w:name="_Toc2262126"/>
      <w:bookmarkStart w:id="4" w:name="_Hlk7341402"/>
      <w:r>
        <w:rPr>
          <w:rFonts w:hint="eastAsia"/>
          <w:b/>
          <w:bCs/>
        </w:rPr>
        <w:t>功能定位</w:t>
      </w:r>
      <w:bookmarkEnd w:id="0"/>
      <w:bookmarkEnd w:id="1"/>
      <w:bookmarkEnd w:id="2"/>
      <w:bookmarkEnd w:id="3"/>
    </w:p>
    <w:p>
      <w:pPr>
        <w:pStyle w:val="6"/>
        <w:tabs>
          <w:tab w:val="clear" w:pos="1134"/>
        </w:tabs>
        <w:spacing w:before="156" w:after="156"/>
        <w:ind w:firstLine="495"/>
        <w:rPr>
          <w:rFonts w:hint="eastAsia" w:cs="宋体"/>
          <w:kern w:val="0"/>
        </w:rPr>
      </w:pPr>
      <w:r>
        <w:rPr>
          <w:rFonts w:hint="eastAsia" w:cs="宋体"/>
          <w:kern w:val="0"/>
        </w:rPr>
        <w:t>规划功能定位为: 龙湖区新津河东岸兼有医疗服务、养老、居住、商业服务等功能的高品质滨水生活综合片区。</w:t>
      </w:r>
    </w:p>
    <w:p>
      <w:pPr>
        <w:pStyle w:val="5"/>
        <w:numPr>
          <w:ilvl w:val="0"/>
          <w:numId w:val="1"/>
        </w:numPr>
        <w:spacing w:before="156" w:after="156"/>
        <w:rPr>
          <w:b/>
          <w:bCs/>
        </w:rPr>
      </w:pPr>
      <w:r>
        <w:rPr>
          <w:rFonts w:hint="eastAsia"/>
          <w:b/>
          <w:bCs/>
        </w:rPr>
        <w:t>发展规模</w:t>
      </w:r>
    </w:p>
    <w:p>
      <w:pPr>
        <w:pStyle w:val="6"/>
        <w:tabs>
          <w:tab w:val="clear" w:pos="1134"/>
        </w:tabs>
        <w:spacing w:before="156" w:after="156"/>
        <w:ind w:firstLine="495"/>
        <w:rPr>
          <w:rFonts w:hint="eastAsia" w:cs="宋体"/>
          <w:kern w:val="0"/>
        </w:rPr>
      </w:pPr>
      <w:r>
        <w:rPr>
          <w:rFonts w:hint="eastAsia" w:cs="宋体"/>
          <w:kern w:val="0"/>
        </w:rPr>
        <w:t>法定规划区总用地面积</w:t>
      </w:r>
      <w:r>
        <w:rPr>
          <w:rFonts w:hint="eastAsia"/>
        </w:rPr>
        <w:t>185.67</w:t>
      </w:r>
      <w:r>
        <w:rPr>
          <w:rFonts w:hint="eastAsia" w:cs="宋体"/>
          <w:kern w:val="0"/>
        </w:rPr>
        <w:t>公顷，其中城镇建设用地</w:t>
      </w:r>
      <w:r>
        <w:rPr>
          <w:rFonts w:hint="eastAsia"/>
        </w:rPr>
        <w:t>132.88</w:t>
      </w:r>
      <w:r>
        <w:rPr>
          <w:rFonts w:hint="eastAsia" w:cs="宋体"/>
          <w:kern w:val="0"/>
        </w:rPr>
        <w:t>公顷。</w:t>
      </w:r>
    </w:p>
    <w:p>
      <w:pPr>
        <w:pStyle w:val="6"/>
        <w:tabs>
          <w:tab w:val="clear" w:pos="1134"/>
        </w:tabs>
        <w:spacing w:before="156" w:after="156"/>
        <w:ind w:firstLine="495"/>
        <w:rPr>
          <w:rFonts w:cs="宋体"/>
          <w:kern w:val="0"/>
        </w:rPr>
      </w:pPr>
      <w:r>
        <w:rPr>
          <w:rFonts w:hint="eastAsia" w:cs="宋体"/>
          <w:kern w:val="0"/>
        </w:rPr>
        <w:t>规划住宅/零售商业用地共42.42公顷，根据有关法规、规章、技术规范及市政府相关文件，经测算居住人口约3.68万人。</w:t>
      </w:r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E2C8B"/>
    <w:multiLevelType w:val="multilevel"/>
    <w:tmpl w:val="717E2C8B"/>
    <w:lvl w:ilvl="0" w:tentative="0">
      <w:start w:val="1"/>
      <w:numFmt w:val="chineseCountingThousand"/>
      <w:lvlText w:val="第%1条"/>
      <w:lvlJc w:val="left"/>
      <w:pPr>
        <w:tabs>
          <w:tab w:val="left" w:pos="1134"/>
        </w:tabs>
        <w:ind w:left="0" w:firstLine="0"/>
      </w:pPr>
      <w:rPr>
        <w:rFonts w:hint="default" w:ascii="黑体" w:eastAsia="黑体"/>
        <w:b/>
        <w:lang w:val="en-US"/>
      </w:rPr>
    </w:lvl>
    <w:lvl w:ilvl="1" w:tentative="0">
      <w:start w:val="1"/>
      <w:numFmt w:val="decimal"/>
      <w:lvlText w:val="%2．"/>
      <w:lvlJc w:val="left"/>
      <w:pPr>
        <w:tabs>
          <w:tab w:val="left" w:pos="780"/>
        </w:tabs>
        <w:ind w:left="780" w:hanging="360"/>
      </w:pPr>
      <w:rPr>
        <w:rFonts w:hint="default"/>
        <w:b/>
      </w:rPr>
    </w:lvl>
    <w:lvl w:ilvl="2" w:tentative="0">
      <w:start w:val="1"/>
      <w:numFmt w:val="decimal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055"/>
        </w:tabs>
        <w:ind w:left="2055" w:hanging="795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0F"/>
    <w:rsid w:val="00A05201"/>
    <w:rsid w:val="00FE4D0F"/>
    <w:rsid w:val="0DC812D9"/>
    <w:rsid w:val="218A2924"/>
    <w:rsid w:val="3211317A"/>
    <w:rsid w:val="4EA81EE2"/>
    <w:rsid w:val="5B185261"/>
    <w:rsid w:val="7AFB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文本条文 字符"/>
    <w:link w:val="5"/>
    <w:qFormat/>
    <w:uiPriority w:val="0"/>
    <w:rPr>
      <w:rFonts w:ascii="宋体" w:hAnsi="宋体"/>
      <w:sz w:val="24"/>
      <w:szCs w:val="24"/>
    </w:rPr>
  </w:style>
  <w:style w:type="paragraph" w:customStyle="1" w:styleId="5">
    <w:name w:val="文本条文"/>
    <w:next w:val="6"/>
    <w:link w:val="4"/>
    <w:qFormat/>
    <w:uiPriority w:val="0"/>
    <w:pPr>
      <w:tabs>
        <w:tab w:val="left" w:pos="1134"/>
      </w:tabs>
      <w:spacing w:before="194" w:beforeLines="50" w:after="194" w:afterLines="50"/>
      <w:jc w:val="both"/>
      <w:outlineLvl w:val="2"/>
    </w:pPr>
    <w:rPr>
      <w:rFonts w:ascii="宋体" w:hAnsi="宋体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6">
    <w:name w:val="文本正文"/>
    <w:basedOn w:val="5"/>
    <w:link w:val="7"/>
    <w:qFormat/>
    <w:uiPriority w:val="0"/>
    <w:pPr>
      <w:widowControl w:val="0"/>
      <w:numPr>
        <w:ilvl w:val="0"/>
        <w:numId w:val="0"/>
      </w:numPr>
      <w:spacing w:before="50" w:after="50"/>
      <w:outlineLvl w:val="9"/>
    </w:pPr>
  </w:style>
  <w:style w:type="character" w:customStyle="1" w:styleId="7">
    <w:name w:val="文本正文 字符"/>
    <w:basedOn w:val="4"/>
    <w:link w:val="6"/>
    <w:qFormat/>
    <w:uiPriority w:val="0"/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869</Characters>
  <Lines>7</Lines>
  <Paragraphs>2</Paragraphs>
  <TotalTime>11</TotalTime>
  <ScaleCrop>false</ScaleCrop>
  <LinksUpToDate>false</LinksUpToDate>
  <CharactersWithSpaces>1019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2020-06-16T06:55:00Z</dcterms:created>
  <dc:creator>Windows 用户</dc:creator>
  <cp:lastModifiedBy>Administrator</cp:lastModifiedBy>
  <dcterms:modified xsi:type="dcterms:W3CDTF">2020-06-22T09:16:43Z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