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56" w:after="156"/>
        <w:ind w:firstLine="495"/>
        <w:jc w:val="center"/>
        <w:rPr>
          <w:rFonts w:hint="eastAsia"/>
          <w:b/>
          <w:sz w:val="32"/>
          <w:szCs w:val="32"/>
          <w:lang w:eastAsia="zh-CN"/>
        </w:rPr>
      </w:pPr>
      <w:r>
        <w:rPr>
          <w:rFonts w:hint="eastAsia"/>
          <w:b/>
          <w:sz w:val="32"/>
          <w:szCs w:val="32"/>
          <w:lang w:eastAsia="zh-CN"/>
        </w:rPr>
        <w:t>汕头市中阳大道两侧片区控制性详细规划</w:t>
      </w:r>
    </w:p>
    <w:p>
      <w:pPr>
        <w:pStyle w:val="6"/>
        <w:spacing w:before="156" w:after="156"/>
        <w:ind w:firstLine="495"/>
        <w:jc w:val="center"/>
        <w:rPr>
          <w:rFonts w:hint="eastAsia"/>
          <w:b/>
          <w:sz w:val="32"/>
          <w:szCs w:val="32"/>
          <w:lang w:eastAsia="zh-CN"/>
        </w:rPr>
      </w:pPr>
      <w:r>
        <w:rPr>
          <w:rFonts w:hint="eastAsia"/>
          <w:b/>
          <w:sz w:val="32"/>
          <w:szCs w:val="32"/>
          <w:lang w:eastAsia="zh-CN"/>
        </w:rPr>
        <w:t>（龙湖区LH—03002控制单元）</w:t>
      </w:r>
    </w:p>
    <w:p>
      <w:pPr>
        <w:pStyle w:val="6"/>
        <w:spacing w:before="156" w:after="156"/>
        <w:ind w:firstLine="495"/>
        <w:jc w:val="center"/>
        <w:rPr>
          <w:rFonts w:hint="eastAsia" w:eastAsiaTheme="minorEastAsia"/>
          <w:lang w:eastAsia="zh-CN"/>
        </w:rPr>
      </w:pPr>
      <w:bookmarkStart w:id="0" w:name="_Toc9603595"/>
      <w:bookmarkStart w:id="1" w:name="_Toc3466719"/>
      <w:bookmarkStart w:id="2" w:name="_Toc2262117"/>
      <w:bookmarkStart w:id="3" w:name="_Toc3467178"/>
      <w:r>
        <w:rPr>
          <w:rFonts w:hint="eastAsia"/>
          <w:b/>
          <w:sz w:val="32"/>
          <w:szCs w:val="32"/>
          <w:lang w:eastAsia="zh-CN"/>
        </w:rPr>
        <w:t>简介</w:t>
      </w:r>
    </w:p>
    <w:bookmarkEnd w:id="0"/>
    <w:bookmarkEnd w:id="1"/>
    <w:bookmarkEnd w:id="2"/>
    <w:bookmarkEnd w:id="3"/>
    <w:p>
      <w:pPr>
        <w:pStyle w:val="5"/>
        <w:spacing w:before="156" w:after="156"/>
        <w:rPr>
          <w:b/>
          <w:bCs/>
        </w:rPr>
      </w:pPr>
      <w:r>
        <w:rPr>
          <w:rFonts w:hint="eastAsia"/>
          <w:b/>
          <w:bCs/>
        </w:rPr>
        <w:t>规划范围</w:t>
      </w:r>
    </w:p>
    <w:p>
      <w:pPr>
        <w:pStyle w:val="6"/>
        <w:spacing w:before="156" w:after="156"/>
        <w:ind w:firstLine="495"/>
        <w:rPr>
          <w:rFonts w:hint="eastAsia" w:cs="宋体"/>
          <w:kern w:val="0"/>
        </w:rPr>
      </w:pPr>
      <w:r>
        <w:rPr>
          <w:rFonts w:hint="eastAsia" w:cs="宋体"/>
          <w:kern w:val="0"/>
        </w:rPr>
        <w:t>本</w:t>
      </w:r>
      <w:r>
        <w:rPr>
          <w:rFonts w:hint="eastAsia" w:cs="宋体"/>
          <w:kern w:val="0"/>
          <w:lang w:eastAsia="zh-CN"/>
        </w:rPr>
        <w:t>规划位于中阳大道两侧片区，为</w:t>
      </w:r>
      <w:bookmarkStart w:id="9" w:name="_GoBack"/>
      <w:bookmarkEnd w:id="9"/>
      <w:r>
        <w:rPr>
          <w:rFonts w:hint="eastAsia" w:cs="宋体"/>
          <w:kern w:val="0"/>
          <w:lang w:eastAsia="zh-CN"/>
        </w:rPr>
        <w:t>龙湖区控规全覆盖</w:t>
      </w:r>
      <w:r>
        <w:rPr>
          <w:rFonts w:hint="eastAsia"/>
        </w:rPr>
        <w:t>LH-030编制单元02控制单元，具体</w:t>
      </w:r>
      <w:r>
        <w:rPr>
          <w:rFonts w:hint="eastAsia" w:cs="宋体"/>
          <w:kern w:val="0"/>
        </w:rPr>
        <w:t>范围为:</w:t>
      </w:r>
      <w:r>
        <w:rPr>
          <w:rFonts w:hint="eastAsia"/>
        </w:rPr>
        <w:t xml:space="preserve"> 东起昆仑山路、西至南岭路、北靠洞庭湖路、南至鄱阳湖路，本控制</w:t>
      </w:r>
      <w:r>
        <w:rPr>
          <w:rFonts w:hint="eastAsia" w:cs="宋体"/>
          <w:kern w:val="0"/>
        </w:rPr>
        <w:t>单元用地面积106.77公顷。</w:t>
      </w:r>
    </w:p>
    <w:p>
      <w:pPr>
        <w:pStyle w:val="5"/>
        <w:spacing w:before="156" w:after="156"/>
        <w:rPr>
          <w:rFonts w:hint="eastAsia"/>
          <w:b/>
          <w:bCs/>
        </w:rPr>
      </w:pPr>
      <w:r>
        <w:rPr>
          <w:rFonts w:hint="eastAsia"/>
          <w:b/>
          <w:bCs/>
        </w:rPr>
        <w:t>发展目标</w:t>
      </w:r>
    </w:p>
    <w:p>
      <w:pPr>
        <w:pStyle w:val="6"/>
        <w:spacing w:before="156" w:after="156"/>
        <w:ind w:firstLine="495"/>
        <w:rPr>
          <w:rFonts w:hint="eastAsia" w:cs="宋体"/>
          <w:kern w:val="0"/>
        </w:rPr>
      </w:pPr>
      <w:r>
        <w:rPr>
          <w:rFonts w:hint="eastAsia"/>
        </w:rPr>
        <w:t>通过规划建设，使该区域发展成为具有城市会展功能和生活配套设施齐全的高尚住区；充分利用中轴线公共绿地条件和滨水条件，将自然绿化景观和滨水景观融入城区，打造滨水特色突出、生态环境良好的城市综合功能片区</w:t>
      </w:r>
      <w:r>
        <w:rPr>
          <w:rFonts w:hint="eastAsia" w:cs="宋体"/>
          <w:kern w:val="0"/>
        </w:rPr>
        <w:t>。</w:t>
      </w:r>
    </w:p>
    <w:p>
      <w:pPr>
        <w:pStyle w:val="5"/>
        <w:spacing w:before="156" w:after="156"/>
        <w:rPr>
          <w:b/>
          <w:bCs/>
        </w:rPr>
      </w:pPr>
      <w:bookmarkStart w:id="4" w:name="_Toc3467185"/>
      <w:bookmarkStart w:id="5" w:name="_Toc2262126"/>
      <w:bookmarkStart w:id="6" w:name="_Toc3466726"/>
      <w:bookmarkStart w:id="7" w:name="_Toc9603603"/>
      <w:bookmarkStart w:id="8" w:name="_Hlk7341402"/>
      <w:r>
        <w:rPr>
          <w:rFonts w:hint="eastAsia"/>
          <w:b/>
          <w:bCs/>
        </w:rPr>
        <w:t>功能定位</w:t>
      </w:r>
      <w:bookmarkEnd w:id="4"/>
      <w:bookmarkEnd w:id="5"/>
      <w:bookmarkEnd w:id="6"/>
      <w:bookmarkEnd w:id="7"/>
    </w:p>
    <w:p>
      <w:pPr>
        <w:pStyle w:val="6"/>
        <w:spacing w:before="156" w:after="156"/>
        <w:ind w:firstLine="495"/>
        <w:rPr>
          <w:rFonts w:hint="eastAsia"/>
        </w:rPr>
      </w:pPr>
      <w:r>
        <w:rPr>
          <w:rFonts w:hint="eastAsia"/>
        </w:rPr>
        <w:t>规划功能定位为:龙湖区新津河东岸以图书展览、商住功能为主的滨水综合片区。</w:t>
      </w:r>
    </w:p>
    <w:p>
      <w:pPr>
        <w:pStyle w:val="5"/>
        <w:spacing w:before="156" w:after="156"/>
        <w:rPr>
          <w:b/>
          <w:bCs/>
        </w:rPr>
      </w:pPr>
      <w:r>
        <w:rPr>
          <w:rFonts w:hint="eastAsia"/>
          <w:b/>
          <w:bCs/>
        </w:rPr>
        <w:t>发展规模</w:t>
      </w:r>
    </w:p>
    <w:p>
      <w:pPr>
        <w:pStyle w:val="6"/>
        <w:spacing w:before="156" w:after="156"/>
        <w:ind w:firstLine="495"/>
        <w:rPr>
          <w:rFonts w:hint="eastAsia" w:cs="宋体"/>
          <w:kern w:val="0"/>
        </w:rPr>
      </w:pPr>
      <w:r>
        <w:rPr>
          <w:rFonts w:hint="eastAsia" w:cs="宋体"/>
          <w:kern w:val="0"/>
        </w:rPr>
        <w:t>法定规划区用地面积106.77公顷，其中城镇建设用地59.94公顷。</w:t>
      </w:r>
    </w:p>
    <w:p>
      <w:pPr>
        <w:pStyle w:val="6"/>
        <w:spacing w:before="156" w:after="156"/>
        <w:ind w:firstLine="495"/>
        <w:rPr>
          <w:rFonts w:cs="宋体"/>
          <w:kern w:val="0"/>
        </w:rPr>
      </w:pPr>
      <w:r>
        <w:rPr>
          <w:rFonts w:hint="eastAsia" w:cs="宋体"/>
          <w:kern w:val="0"/>
        </w:rPr>
        <w:t>规划住宅/零售商业用地19.47公顷，根据有关法规、规章、技术规范及市政府相关文件，经测算居住人口约1.69万人。</w:t>
      </w:r>
    </w:p>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E2C8B"/>
    <w:multiLevelType w:val="multilevel"/>
    <w:tmpl w:val="717E2C8B"/>
    <w:lvl w:ilvl="0" w:tentative="0">
      <w:start w:val="1"/>
      <w:numFmt w:val="chineseCountingThousand"/>
      <w:pStyle w:val="5"/>
      <w:lvlText w:val="第%1条"/>
      <w:lvlJc w:val="left"/>
      <w:pPr>
        <w:tabs>
          <w:tab w:val="left" w:pos="1134"/>
        </w:tabs>
        <w:ind w:left="0" w:firstLine="0"/>
      </w:pPr>
      <w:rPr>
        <w:rFonts w:hint="default" w:ascii="黑体" w:eastAsia="黑体"/>
        <w:b/>
      </w:rPr>
    </w:lvl>
    <w:lvl w:ilvl="1" w:tentative="0">
      <w:start w:val="1"/>
      <w:numFmt w:val="decimal"/>
      <w:lvlText w:val="%2．"/>
      <w:lvlJc w:val="left"/>
      <w:pPr>
        <w:tabs>
          <w:tab w:val="left" w:pos="780"/>
        </w:tabs>
        <w:ind w:left="780" w:hanging="360"/>
      </w:pPr>
      <w:rPr>
        <w:rFonts w:hint="default"/>
        <w:b/>
      </w:rPr>
    </w:lvl>
    <w:lvl w:ilvl="2" w:tentative="0">
      <w:start w:val="1"/>
      <w:numFmt w:val="decimal"/>
      <w:lvlText w:val="%3."/>
      <w:lvlJc w:val="left"/>
      <w:pPr>
        <w:tabs>
          <w:tab w:val="left" w:pos="1260"/>
        </w:tabs>
        <w:ind w:left="1260" w:hanging="420"/>
      </w:pPr>
      <w:rPr>
        <w:rFonts w:hint="default"/>
      </w:rPr>
    </w:lvl>
    <w:lvl w:ilvl="3" w:tentative="0">
      <w:start w:val="1"/>
      <w:numFmt w:val="decimal"/>
      <w:lvlText w:val="%4、"/>
      <w:lvlJc w:val="left"/>
      <w:pPr>
        <w:tabs>
          <w:tab w:val="left" w:pos="2055"/>
        </w:tabs>
        <w:ind w:left="2055" w:hanging="79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5E"/>
    <w:rsid w:val="00A05201"/>
    <w:rsid w:val="00EF375E"/>
    <w:rsid w:val="0EAB052A"/>
    <w:rsid w:val="42347BB0"/>
    <w:rsid w:val="5F3B35D9"/>
    <w:rsid w:val="73C1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文本条文 字符"/>
    <w:link w:val="5"/>
    <w:uiPriority w:val="0"/>
    <w:rPr>
      <w:rFonts w:ascii="宋体" w:hAnsi="宋体"/>
      <w:sz w:val="24"/>
      <w:szCs w:val="24"/>
    </w:rPr>
  </w:style>
  <w:style w:type="paragraph" w:customStyle="1" w:styleId="5">
    <w:name w:val="文本条文"/>
    <w:next w:val="6"/>
    <w:link w:val="4"/>
    <w:qFormat/>
    <w:uiPriority w:val="0"/>
    <w:pPr>
      <w:numPr>
        <w:ilvl w:val="0"/>
        <w:numId w:val="1"/>
      </w:numPr>
      <w:spacing w:before="194" w:beforeLines="50" w:after="194" w:afterLines="50"/>
      <w:jc w:val="both"/>
      <w:outlineLvl w:val="2"/>
    </w:pPr>
    <w:rPr>
      <w:rFonts w:ascii="宋体" w:hAnsi="宋体" w:eastAsiaTheme="minorEastAsia" w:cstheme="minorBidi"/>
      <w:kern w:val="2"/>
      <w:sz w:val="24"/>
      <w:szCs w:val="24"/>
      <w:lang w:val="en-US" w:eastAsia="zh-CN" w:bidi="ar-SA"/>
    </w:rPr>
  </w:style>
  <w:style w:type="paragraph" w:customStyle="1" w:styleId="6">
    <w:name w:val="文本正文"/>
    <w:basedOn w:val="5"/>
    <w:link w:val="7"/>
    <w:qFormat/>
    <w:uiPriority w:val="0"/>
    <w:pPr>
      <w:widowControl w:val="0"/>
      <w:numPr>
        <w:numId w:val="0"/>
      </w:numPr>
      <w:spacing w:before="50" w:after="50"/>
      <w:outlineLvl w:val="9"/>
    </w:pPr>
  </w:style>
  <w:style w:type="character" w:customStyle="1" w:styleId="7">
    <w:name w:val="文本正文 字符"/>
    <w:basedOn w:val="4"/>
    <w:link w:val="6"/>
    <w:qFormat/>
    <w:uiPriority w:val="0"/>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Words>
  <Characters>905</Characters>
  <Lines>7</Lines>
  <Paragraphs>2</Paragraphs>
  <TotalTime>0</TotalTime>
  <ScaleCrop>false</ScaleCrop>
  <LinksUpToDate>false</LinksUpToDate>
  <CharactersWithSpaces>1061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2020-06-16T07:05:00Z</dcterms:created>
  <dc:creator>Windows 用户</dc:creator>
  <cp:lastModifiedBy>Administrator</cp:lastModifiedBy>
  <dcterms:modified xsi:type="dcterms:W3CDTF">2020-06-22T09:17:00Z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