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汕头市龙湖乐园城市商业综合体控制性详细规划（修编）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简介</w:t>
      </w: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 w:cs="黑体"/>
          <w:color w:val="000000"/>
          <w:kern w:val="0"/>
          <w:sz w:val="23"/>
          <w:szCs w:val="23"/>
        </w:rPr>
      </w:pPr>
      <w:r>
        <w:rPr>
          <w:rFonts w:hint="eastAsia" w:ascii="黑体" w:eastAsia="黑体" w:cs="黑体"/>
          <w:color w:val="000000"/>
          <w:kern w:val="0"/>
          <w:sz w:val="23"/>
          <w:szCs w:val="23"/>
        </w:rPr>
        <w:t>第一条 规划范围</w:t>
      </w:r>
      <w:r>
        <w:rPr>
          <w:rFonts w:ascii="黑体" w:eastAsia="黑体" w:cs="黑体"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本规划的规划区用地位于汕头城市中心区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街区。规划编制的范围北至金砂路和金海湾大酒店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，南至长平路，东至丹霞南街，西至金环路，规划面积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12.89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公顷。</w:t>
      </w:r>
      <w:bookmarkStart w:id="0" w:name="_GoBack"/>
      <w:bookmarkEnd w:id="0"/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 w:cs="黑体"/>
          <w:color w:val="000000"/>
          <w:kern w:val="0"/>
          <w:sz w:val="23"/>
          <w:szCs w:val="23"/>
        </w:rPr>
      </w:pPr>
      <w:r>
        <w:rPr>
          <w:rFonts w:hint="eastAsia" w:ascii="黑体" w:eastAsia="黑体" w:cs="黑体"/>
          <w:color w:val="000000"/>
          <w:kern w:val="0"/>
          <w:sz w:val="23"/>
          <w:szCs w:val="23"/>
        </w:rPr>
        <w:t>第二条规划目标</w:t>
      </w:r>
      <w:r>
        <w:rPr>
          <w:rFonts w:ascii="黑体" w:eastAsia="黑体" w:cs="黑体"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规划通过打造多种功能混合的城市商业综合体，提升和挖掘城市核心商业价值和发展潜力，培育契合汕头城市发展脉络的商业氛围和商业发展业态，推动传统商贸业转型升级，并辐射带动周边发展。同时，提升中心城市辐射服务能力，形成良好的宜商宜居环境和城市风貌。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 w:cs="黑体"/>
          <w:color w:val="000000"/>
          <w:kern w:val="0"/>
          <w:sz w:val="23"/>
          <w:szCs w:val="23"/>
        </w:rPr>
      </w:pPr>
      <w:r>
        <w:rPr>
          <w:rFonts w:hint="eastAsia" w:ascii="黑体" w:eastAsia="黑体" w:cs="黑体"/>
          <w:color w:val="000000"/>
          <w:kern w:val="0"/>
          <w:sz w:val="23"/>
          <w:szCs w:val="23"/>
        </w:rPr>
        <w:t>第三条 功能定位</w:t>
      </w:r>
      <w:r>
        <w:rPr>
          <w:rFonts w:ascii="黑体" w:eastAsia="黑体" w:cs="黑体"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本规划的规划区功能定位为：以商业、商务、居住功能为主，兼有娱乐康体等多种功能的城市商业综合体、中心城区北岸现代服务业核心区的重要组成部分。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left"/>
        <w:rPr>
          <w:rFonts w:ascii="黑体" w:eastAsia="黑体" w:cs="黑体"/>
          <w:color w:val="000000"/>
          <w:kern w:val="0"/>
          <w:sz w:val="23"/>
          <w:szCs w:val="23"/>
        </w:rPr>
      </w:pPr>
      <w:r>
        <w:rPr>
          <w:rFonts w:hint="eastAsia" w:ascii="黑体" w:eastAsia="黑体" w:cs="黑体"/>
          <w:color w:val="000000"/>
          <w:kern w:val="0"/>
          <w:sz w:val="23"/>
          <w:szCs w:val="23"/>
        </w:rPr>
        <w:t>第四条</w:t>
      </w:r>
      <w:r>
        <w:rPr>
          <w:rFonts w:ascii="黑体" w:eastAsia="黑体" w:cs="黑体"/>
          <w:color w:val="000000"/>
          <w:kern w:val="0"/>
          <w:sz w:val="23"/>
          <w:szCs w:val="23"/>
        </w:rPr>
        <w:t xml:space="preserve"> </w:t>
      </w:r>
      <w:r>
        <w:rPr>
          <w:rFonts w:hint="eastAsia" w:ascii="黑体" w:eastAsia="黑体" w:cs="黑体"/>
          <w:color w:val="000000"/>
          <w:kern w:val="0"/>
          <w:sz w:val="23"/>
          <w:szCs w:val="23"/>
        </w:rPr>
        <w:t>发展规模</w:t>
      </w:r>
      <w:r>
        <w:rPr>
          <w:rFonts w:ascii="黑体" w:eastAsia="黑体" w:cs="黑体"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规划区总用地面积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12.89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公顷，规划范围内全部为建设用地。</w:t>
      </w:r>
    </w:p>
    <w:p>
      <w:pPr>
        <w:autoSpaceDE w:val="0"/>
        <w:autoSpaceDN w:val="0"/>
        <w:adjustRightInd w:val="0"/>
        <w:spacing w:before="156" w:beforeLines="50" w:after="156" w:afterLines="50"/>
        <w:ind w:firstLine="480" w:firstLineChars="200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p萀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69"/>
    <w:rsid w:val="00A05201"/>
    <w:rsid w:val="00FD2F69"/>
    <w:rsid w:val="4AC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黑体p萀" w:eastAsia="黑体p萀" w:cs="黑体p萀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63779-FC7A-45E4-BA57-8B7A6D129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2020-06-16T07:45:00Z</dcterms:created>
  <dc:creator>Windows 用户</dc:creator>
  <cp:lastModifiedBy>Administrator</cp:lastModifiedBy>
  <dcterms:modified xsi:type="dcterms:W3CDTF">2020-06-17T09:16:43Z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