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  <w:tab w:val="left" w:pos="1494"/>
        </w:tabs>
        <w:spacing w:before="156" w:after="156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Toc3467178"/>
      <w:bookmarkStart w:id="1" w:name="_Toc2262117"/>
      <w:bookmarkStart w:id="2" w:name="_Toc3466719"/>
      <w:bookmarkStart w:id="3" w:name="_Toc9603595"/>
      <w:r>
        <w:rPr>
          <w:rFonts w:hint="eastAsia" w:ascii="黑体" w:hAnsi="黑体" w:eastAsia="黑体"/>
          <w:b/>
          <w:bCs/>
          <w:sz w:val="32"/>
          <w:szCs w:val="32"/>
        </w:rPr>
        <w:t>汕头市粤东物流新城城乡统筹区新津水厂片</w:t>
      </w:r>
    </w:p>
    <w:p>
      <w:pPr>
        <w:tabs>
          <w:tab w:val="left" w:pos="996"/>
          <w:tab w:val="left" w:pos="1494"/>
        </w:tabs>
        <w:spacing w:before="156" w:after="156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控制性详细规划</w:t>
      </w:r>
    </w:p>
    <w:p>
      <w:pPr>
        <w:tabs>
          <w:tab w:val="left" w:pos="996"/>
          <w:tab w:val="left" w:pos="1494"/>
        </w:tabs>
        <w:spacing w:before="156" w:after="156"/>
        <w:jc w:val="center"/>
        <w:rPr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简介</w:t>
      </w:r>
    </w:p>
    <w:bookmarkEnd w:id="0"/>
    <w:bookmarkEnd w:id="1"/>
    <w:bookmarkEnd w:id="2"/>
    <w:bookmarkEnd w:id="3"/>
    <w:p>
      <w:pPr>
        <w:pStyle w:val="3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spacing w:before="100" w:beforeAutospacing="1" w:after="100" w:afterAutospacing="1"/>
        <w:ind w:firstLine="480" w:firstLineChars="200"/>
        <w:rPr>
          <w:kern w:val="0"/>
          <w:szCs w:val="20"/>
          <w:lang w:val="zh-CN"/>
        </w:rPr>
      </w:pPr>
      <w:r>
        <w:rPr>
          <w:rFonts w:hint="eastAsia"/>
          <w:kern w:val="0"/>
          <w:szCs w:val="20"/>
          <w:lang w:val="zh-CN"/>
        </w:rPr>
        <w:t>本次规划区范围由汕樟路以北、韶山路以东、漓江路以南、新津河以西所围合的区域组成，在龙湖区控规全覆盖中位于LH-004编制单元范围内，用地面积为66.48公顷。</w:t>
      </w:r>
      <w:bookmarkStart w:id="9" w:name="_GoBack"/>
      <w:bookmarkEnd w:id="9"/>
    </w:p>
    <w:p>
      <w:pPr>
        <w:pStyle w:val="3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4" w:name="_Toc3466726"/>
      <w:bookmarkStart w:id="5" w:name="_Toc9603603"/>
      <w:bookmarkStart w:id="6" w:name="_Toc2262126"/>
      <w:bookmarkStart w:id="7" w:name="_Toc3467185"/>
      <w:bookmarkStart w:id="8" w:name="_Hlk7341402"/>
      <w:r>
        <w:rPr>
          <w:rFonts w:hint="eastAsia"/>
          <w:b/>
          <w:bCs/>
        </w:rPr>
        <w:t>功能定位</w:t>
      </w:r>
      <w:bookmarkEnd w:id="4"/>
      <w:bookmarkEnd w:id="5"/>
      <w:bookmarkEnd w:id="6"/>
      <w:bookmarkEnd w:id="7"/>
    </w:p>
    <w:p>
      <w:pPr>
        <w:spacing w:before="100" w:beforeAutospacing="1" w:after="100" w:afterAutospacing="1"/>
        <w:ind w:firstLine="480" w:firstLineChars="200"/>
        <w:rPr>
          <w:kern w:val="0"/>
          <w:szCs w:val="20"/>
          <w:lang w:val="zh-CN"/>
        </w:rPr>
      </w:pPr>
      <w:r>
        <w:rPr>
          <w:rFonts w:hint="eastAsia"/>
          <w:kern w:val="0"/>
          <w:szCs w:val="20"/>
          <w:lang w:val="zh-CN"/>
        </w:rPr>
        <w:t>规划功能定位为：</w:t>
      </w:r>
      <w:r>
        <w:rPr>
          <w:rFonts w:hint="eastAsia"/>
        </w:rPr>
        <w:t>粤东（五矿）物流新城的组成部分，以一类工业仓储、市政用地为主的生产区。</w:t>
      </w:r>
    </w:p>
    <w:p>
      <w:pPr>
        <w:pStyle w:val="3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用地规模</w:t>
      </w:r>
    </w:p>
    <w:p>
      <w:pPr>
        <w:spacing w:before="100" w:beforeAutospacing="1" w:after="100" w:afterAutospacing="1"/>
        <w:ind w:firstLine="480" w:firstLineChars="200"/>
        <w:rPr>
          <w:rFonts w:hint="eastAsia"/>
          <w:lang w:val="zh-CN"/>
        </w:rPr>
      </w:pPr>
      <w:r>
        <w:rPr>
          <w:rFonts w:hint="eastAsia"/>
          <w:lang w:val="zh-CN"/>
        </w:rPr>
        <w:t>规划区总用地面积为66.48公顷，其中城市建设用地为46.49公顷，占总用地面积的69.9%，非建设用地为19.99公顷，占总用地面积的30.1%。</w:t>
      </w:r>
    </w:p>
    <w:p>
      <w:pPr>
        <w:pStyle w:val="3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8"/>
    <w:p>
      <w:pPr>
        <w:spacing w:before="100" w:beforeAutospacing="1" w:after="100" w:afterAutospacing="1"/>
        <w:ind w:firstLine="480" w:firstLineChars="200"/>
        <w:rPr>
          <w:kern w:val="0"/>
          <w:szCs w:val="20"/>
          <w:lang w:val="zh-CN"/>
        </w:rPr>
      </w:pPr>
      <w:r>
        <w:rPr>
          <w:rFonts w:hint="eastAsia"/>
          <w:lang w:val="zh-CN"/>
        </w:rPr>
        <w:t>规划区范围为工业用地、物流仓储用地、市政公用用地，不新增住宅常住人口。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7F5A"/>
    <w:multiLevelType w:val="multilevel"/>
    <w:tmpl w:val="69047F5A"/>
    <w:lvl w:ilvl="0" w:tentative="0">
      <w:start w:val="1"/>
      <w:numFmt w:val="japaneseCounting"/>
      <w:pStyle w:val="2"/>
      <w:lvlText w:val="第%1章"/>
      <w:lvlJc w:val="left"/>
      <w:pPr>
        <w:tabs>
          <w:tab w:val="left" w:pos="1401"/>
        </w:tabs>
        <w:ind w:left="1401" w:hanging="140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1"/>
        </w:tabs>
        <w:ind w:left="841" w:hanging="420"/>
      </w:pPr>
      <w:rPr>
        <w:rFonts w:hint="default"/>
      </w:rPr>
    </w:lvl>
    <w:lvl w:ilvl="2" w:tentative="0">
      <w:start w:val="1"/>
      <w:numFmt w:val="decimal"/>
      <w:lvlText w:val="%3．"/>
      <w:lvlJc w:val="left"/>
      <w:pPr>
        <w:tabs>
          <w:tab w:val="left" w:pos="1201"/>
        </w:tabs>
        <w:ind w:left="1201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1"/>
        </w:tabs>
        <w:ind w:left="1681" w:hanging="420"/>
      </w:pPr>
      <w:rPr>
        <w:rFonts w:hint="default"/>
      </w:rPr>
    </w:lvl>
    <w:lvl w:ilvl="4" w:tentative="0">
      <w:start w:val="1"/>
      <w:numFmt w:val="decimal"/>
      <w:lvlText w:val="%5．"/>
      <w:lvlJc w:val="left"/>
      <w:pPr>
        <w:tabs>
          <w:tab w:val="left" w:pos="2041"/>
        </w:tabs>
        <w:ind w:left="2041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2521"/>
        </w:tabs>
        <w:ind w:left="2521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1"/>
        </w:tabs>
        <w:ind w:left="29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1"/>
        </w:tabs>
        <w:ind w:left="33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1"/>
        </w:tabs>
        <w:ind w:left="3781" w:hanging="420"/>
      </w:pPr>
    </w:lvl>
  </w:abstractNum>
  <w:abstractNum w:abstractNumId="1">
    <w:nsid w:val="717E2C8B"/>
    <w:multiLevelType w:val="multilevel"/>
    <w:tmpl w:val="717E2C8B"/>
    <w:lvl w:ilvl="0" w:tentative="0">
      <w:start w:val="1"/>
      <w:numFmt w:val="chineseCountingThousand"/>
      <w:pStyle w:val="3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03"/>
    <w:rsid w:val="001D6303"/>
    <w:rsid w:val="0053495F"/>
    <w:rsid w:val="00D74993"/>
    <w:rsid w:val="00F33FF1"/>
    <w:rsid w:val="36D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link w:val="7"/>
    <w:qFormat/>
    <w:uiPriority w:val="10"/>
    <w:pPr>
      <w:keepNext/>
      <w:widowControl/>
      <w:numPr>
        <w:ilvl w:val="0"/>
        <w:numId w:val="1"/>
      </w:numPr>
      <w:spacing w:before="389" w:beforeLines="100" w:after="389" w:afterLines="100"/>
      <w:jc w:val="center"/>
      <w:outlineLvl w:val="0"/>
    </w:pPr>
    <w:rPr>
      <w:rFonts w:ascii="等线 Light" w:hAnsi="等线 Light" w:eastAsia="微软雅黑" w:cstheme="minorBidi"/>
      <w:bCs/>
      <w:kern w:val="28"/>
      <w:sz w:val="28"/>
      <w:szCs w:val="28"/>
    </w:rPr>
  </w:style>
  <w:style w:type="paragraph" w:customStyle="1" w:styleId="3">
    <w:name w:val="文本条文"/>
    <w:next w:val="1"/>
    <w:link w:val="6"/>
    <w:qFormat/>
    <w:uiPriority w:val="0"/>
    <w:pPr>
      <w:numPr>
        <w:ilvl w:val="0"/>
        <w:numId w:val="2"/>
      </w:numPr>
      <w:spacing w:before="194" w:beforeLines="50" w:after="194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6">
    <w:name w:val="文本条文 字符"/>
    <w:link w:val="3"/>
    <w:uiPriority w:val="0"/>
    <w:rPr>
      <w:rFonts w:ascii="宋体" w:hAnsi="宋体"/>
      <w:sz w:val="24"/>
      <w:szCs w:val="24"/>
    </w:rPr>
  </w:style>
  <w:style w:type="character" w:customStyle="1" w:styleId="7">
    <w:name w:val="标题 Char"/>
    <w:link w:val="2"/>
    <w:uiPriority w:val="10"/>
    <w:rPr>
      <w:rFonts w:ascii="等线 Light" w:hAnsi="等线 Light" w:eastAsia="微软雅黑"/>
      <w:bCs/>
      <w:kern w:val="28"/>
      <w:sz w:val="28"/>
      <w:szCs w:val="28"/>
    </w:rPr>
  </w:style>
  <w:style w:type="character" w:customStyle="1" w:styleId="8">
    <w:name w:val="标题 字符1"/>
    <w:basedOn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3</TotalTime>
  <ScaleCrop>false</ScaleCrop>
  <LinksUpToDate>false</LinksUpToDate>
  <CharactersWithSpaces>849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2020-06-16T03:52:00Z</dcterms:created>
  <dc:creator>user</dc:creator>
  <cp:lastModifiedBy>Administrator</cp:lastModifiedBy>
  <dcterms:modified xsi:type="dcterms:W3CDTF">2020-06-17T09:17:42Z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