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Cs/>
        </w:rPr>
      </w:pPr>
      <w:r>
        <w:rPr>
          <w:rFonts w:hint="eastAsia" w:hAnsi="宋体"/>
          <w:b/>
          <w:sz w:val="30"/>
          <w:szCs w:val="30"/>
        </w:rPr>
        <w:t>审批意见：</w:t>
      </w:r>
    </w:p>
    <w:p>
      <w:pPr>
        <w:spacing w:beforeLines="50" w:line="400" w:lineRule="exact"/>
        <w:ind w:firstLine="562"/>
        <w:jc w:val="right"/>
        <w:rPr>
          <w:rFonts w:ascii="仿宋" w:hAnsi="仿宋" w:eastAsia="仿宋" w:cs="仿宋"/>
          <w:color w:val="000000"/>
          <w:kern w:val="0"/>
          <w:sz w:val="24"/>
        </w:rPr>
      </w:pPr>
      <w:r>
        <w:rPr>
          <w:rFonts w:hint="eastAsia" w:ascii="仿宋_GB2312" w:hAnsi="宋体" w:eastAsia="仿宋_GB2312"/>
          <w:b/>
          <w:sz w:val="28"/>
          <w:szCs w:val="28"/>
          <w:u w:val="single"/>
        </w:rPr>
        <w:t>汕保环建</w:t>
      </w:r>
      <w:r>
        <w:rPr>
          <w:rFonts w:ascii="仿宋_GB2312" w:hAnsi="宋体" w:eastAsia="仿宋_GB2312"/>
          <w:b/>
          <w:sz w:val="28"/>
          <w:szCs w:val="28"/>
          <w:u w:val="single"/>
        </w:rPr>
        <w:t>[20</w:t>
      </w:r>
      <w:r>
        <w:rPr>
          <w:rFonts w:hint="eastAsia" w:ascii="仿宋_GB2312" w:hAnsi="宋体" w:eastAsia="仿宋_GB2312"/>
          <w:b/>
          <w:sz w:val="28"/>
          <w:szCs w:val="28"/>
          <w:u w:val="single"/>
        </w:rPr>
        <w:t>20</w:t>
      </w:r>
      <w:r>
        <w:rPr>
          <w:rFonts w:ascii="仿宋_GB2312" w:hAnsi="宋体" w:eastAsia="仿宋_GB2312"/>
          <w:b/>
          <w:sz w:val="28"/>
          <w:szCs w:val="28"/>
          <w:u w:val="single"/>
        </w:rPr>
        <w:t>]</w:t>
      </w:r>
      <w:r>
        <w:rPr>
          <w:rFonts w:hint="eastAsia" w:ascii="仿宋_GB2312" w:hAnsi="宋体" w:eastAsia="仿宋_GB2312"/>
          <w:b/>
          <w:sz w:val="28"/>
          <w:szCs w:val="28"/>
          <w:u w:val="single"/>
        </w:rPr>
        <w:t>03号</w:t>
      </w:r>
    </w:p>
    <w:p>
      <w:pPr>
        <w:pStyle w:val="15"/>
        <w:keepNext w:val="0"/>
        <w:keepLines w:val="0"/>
        <w:pageBreakBefore w:val="0"/>
        <w:widowControl w:val="0"/>
        <w:tabs>
          <w:tab w:val="left" w:pos="8904"/>
        </w:tabs>
        <w:kinsoku/>
        <w:overflowPunct/>
        <w:topLinePunct w:val="0"/>
        <w:autoSpaceDE/>
        <w:autoSpaceDN/>
        <w:bidi w:val="0"/>
        <w:adjustRightInd w:val="0"/>
        <w:spacing w:line="360" w:lineRule="exact"/>
        <w:ind w:left="0" w:leftChars="0" w:right="105" w:rightChars="50" w:firstLine="480" w:firstLineChars="200"/>
        <w:rPr>
          <w:rFonts w:ascii="仿宋" w:hAnsi="仿宋" w:eastAsia="仿宋" w:cs="仿宋"/>
          <w:color w:val="000000"/>
        </w:rPr>
      </w:pPr>
      <w:r>
        <w:rPr>
          <w:rFonts w:hint="eastAsia" w:ascii="仿宋" w:hAnsi="仿宋" w:eastAsia="仿宋" w:cs="仿宋"/>
          <w:color w:val="000000"/>
        </w:rPr>
        <w:t>广东西电动力科技股份有限公司智能发电机组扩产建设项目位于汕头保税区E02-1-1地块，拟投资</w:t>
      </w:r>
      <w:r>
        <w:rPr>
          <w:rFonts w:ascii="仿宋" w:hAnsi="仿宋" w:eastAsia="仿宋" w:cs="仿宋"/>
          <w:color w:val="000000"/>
        </w:rPr>
        <w:t>6141.73</w:t>
      </w:r>
      <w:r>
        <w:rPr>
          <w:rFonts w:hint="eastAsia" w:ascii="仿宋" w:hAnsi="仿宋" w:eastAsia="仿宋" w:cs="仿宋"/>
          <w:color w:val="000000"/>
        </w:rPr>
        <w:t>万元，</w:t>
      </w:r>
      <w:r>
        <w:rPr>
          <w:rFonts w:ascii="仿宋" w:hAnsi="仿宋" w:eastAsia="仿宋" w:cs="仿宋"/>
          <w:color w:val="000000"/>
        </w:rPr>
        <w:t>扩建</w:t>
      </w:r>
      <w:r>
        <w:rPr>
          <w:rFonts w:hint="eastAsia" w:ascii="仿宋" w:hAnsi="仿宋" w:eastAsia="仿宋" w:cs="仿宋"/>
          <w:color w:val="000000"/>
        </w:rPr>
        <w:t>一</w:t>
      </w:r>
      <w:r>
        <w:rPr>
          <w:rFonts w:ascii="仿宋" w:hAnsi="仿宋" w:eastAsia="仿宋" w:cs="仿宋"/>
          <w:color w:val="000000"/>
        </w:rPr>
        <w:t>座2层生产厂房</w:t>
      </w:r>
      <w:r>
        <w:rPr>
          <w:rFonts w:hint="eastAsia" w:ascii="仿宋" w:hAnsi="仿宋" w:eastAsia="仿宋" w:cs="仿宋"/>
          <w:color w:val="000000"/>
        </w:rPr>
        <w:t>，</w:t>
      </w:r>
      <w:r>
        <w:rPr>
          <w:rFonts w:ascii="仿宋" w:hAnsi="仿宋" w:eastAsia="仿宋" w:cs="仿宋"/>
          <w:color w:val="000000"/>
        </w:rPr>
        <w:t>总建筑面积4000m</w:t>
      </w:r>
      <w:r>
        <w:rPr>
          <w:rFonts w:ascii="仿宋" w:hAnsi="仿宋" w:eastAsia="仿宋" w:cs="仿宋"/>
          <w:color w:val="000000"/>
          <w:vertAlign w:val="superscript"/>
        </w:rPr>
        <w:t>2</w:t>
      </w:r>
      <w:r>
        <w:rPr>
          <w:rFonts w:hint="eastAsia" w:ascii="仿宋" w:hAnsi="仿宋" w:eastAsia="仿宋" w:cs="仿宋"/>
          <w:color w:val="000000"/>
          <w:lang w:eastAsia="zh-CN"/>
        </w:rPr>
        <w:t>，</w:t>
      </w:r>
      <w:r>
        <w:rPr>
          <w:rFonts w:hint="eastAsia" w:ascii="仿宋" w:hAnsi="仿宋" w:eastAsia="仿宋" w:cs="仿宋"/>
          <w:color w:val="000000"/>
        </w:rPr>
        <w:t>主要从</w:t>
      </w:r>
      <w:r>
        <w:rPr>
          <w:rFonts w:ascii="仿宋" w:hAnsi="仿宋" w:eastAsia="仿宋" w:cs="仿宋"/>
          <w:color w:val="000000"/>
        </w:rPr>
        <w:t>事大功率柴油发电机组组装生产，年组装大功率</w:t>
      </w:r>
      <w:r>
        <w:rPr>
          <w:rFonts w:hint="eastAsia" w:ascii="仿宋" w:hAnsi="仿宋" w:eastAsia="仿宋" w:cs="仿宋"/>
          <w:color w:val="000000"/>
        </w:rPr>
        <w:t>柴油发电机组100台。本次扩建不涉及喷漆或表面处理工艺。</w:t>
      </w:r>
      <w:r>
        <w:rPr>
          <w:rFonts w:hint="eastAsia" w:ascii="仿宋" w:hAnsi="仿宋" w:eastAsia="仿宋" w:cs="仿宋"/>
          <w:color w:val="000000"/>
          <w:lang w:eastAsia="zh-CN"/>
        </w:rPr>
        <w:t>扩产后</w:t>
      </w:r>
      <w:r>
        <w:rPr>
          <w:rFonts w:hint="eastAsia" w:ascii="仿宋" w:hAnsi="仿宋" w:eastAsia="仿宋" w:cs="仿宋"/>
          <w:color w:val="000000"/>
        </w:rPr>
        <w:t>预计</w:t>
      </w:r>
      <w:r>
        <w:rPr>
          <w:rFonts w:hint="eastAsia" w:ascii="仿宋" w:hAnsi="仿宋" w:eastAsia="仿宋" w:cs="仿宋"/>
          <w:color w:val="000000"/>
          <w:lang w:eastAsia="zh-CN"/>
        </w:rPr>
        <w:t>全厂</w:t>
      </w:r>
      <w:r>
        <w:rPr>
          <w:rFonts w:hint="eastAsia" w:ascii="仿宋" w:hAnsi="仿宋" w:eastAsia="仿宋" w:cs="仿宋"/>
          <w:color w:val="000000"/>
        </w:rPr>
        <w:t>年加工装配发电机组</w:t>
      </w:r>
      <w:r>
        <w:rPr>
          <w:rFonts w:hint="eastAsia" w:ascii="仿宋" w:hAnsi="仿宋" w:eastAsia="仿宋" w:cs="仿宋"/>
          <w:color w:val="000000"/>
          <w:lang w:val="en-US" w:eastAsia="zh-CN"/>
        </w:rPr>
        <w:t>8092台、</w:t>
      </w:r>
      <w:r>
        <w:rPr>
          <w:rFonts w:hint="eastAsia" w:ascii="仿宋" w:hAnsi="仿宋" w:eastAsia="仿宋" w:cs="仿宋"/>
          <w:color w:val="000000"/>
        </w:rPr>
        <w:t>柴油发电机组静音罩</w:t>
      </w:r>
      <w:r>
        <w:rPr>
          <w:rFonts w:hint="eastAsia" w:ascii="仿宋" w:hAnsi="仿宋" w:eastAsia="仿宋" w:cs="仿宋"/>
          <w:color w:val="000000"/>
          <w:lang w:val="en-US" w:eastAsia="zh-CN"/>
        </w:rPr>
        <w:t>5492套、</w:t>
      </w:r>
      <w:r>
        <w:rPr>
          <w:rFonts w:hint="eastAsia" w:ascii="仿宋" w:hAnsi="仿宋" w:eastAsia="仿宋" w:cs="仿宋"/>
          <w:color w:val="000000"/>
        </w:rPr>
        <w:t>静音罩罩表面涂装</w:t>
      </w:r>
      <w:r>
        <w:rPr>
          <w:rFonts w:hint="eastAsia" w:ascii="仿宋" w:hAnsi="仿宋" w:eastAsia="仿宋" w:cs="仿宋"/>
          <w:color w:val="000000"/>
          <w:lang w:val="en-US" w:eastAsia="zh-CN"/>
        </w:rPr>
        <w:t>28万</w:t>
      </w:r>
      <w:r>
        <w:rPr>
          <w:rFonts w:hint="eastAsia" w:ascii="仿宋" w:hAnsi="仿宋" w:eastAsia="仿宋" w:cs="仿宋"/>
          <w:color w:val="000000"/>
        </w:rPr>
        <w:t>m</w:t>
      </w:r>
      <w:r>
        <w:rPr>
          <w:rFonts w:hint="eastAsia" w:ascii="仿宋" w:hAnsi="仿宋" w:eastAsia="仿宋" w:cs="仿宋"/>
          <w:color w:val="000000"/>
          <w:vertAlign w:val="superscript"/>
        </w:rPr>
        <w:t>2</w:t>
      </w:r>
      <w:r>
        <w:rPr>
          <w:rFonts w:hint="eastAsia" w:ascii="仿宋" w:hAnsi="仿宋" w:eastAsia="仿宋" w:cs="仿宋"/>
          <w:color w:val="000000"/>
        </w:rPr>
        <w:t>。项目</w:t>
      </w:r>
      <w:r>
        <w:rPr>
          <w:rFonts w:hint="eastAsia" w:ascii="仿宋" w:hAnsi="仿宋" w:eastAsia="仿宋" w:cs="仿宋"/>
          <w:color w:val="000000"/>
          <w:lang w:eastAsia="zh-CN"/>
        </w:rPr>
        <w:t>员工</w:t>
      </w:r>
      <w:r>
        <w:rPr>
          <w:rFonts w:hint="eastAsia" w:ascii="仿宋" w:hAnsi="仿宋" w:eastAsia="仿宋" w:cs="仿宋"/>
          <w:color w:val="000000"/>
        </w:rPr>
        <w:t>依托原研发中心食堂，不在厂内住宿。原则同意该项目建设。</w:t>
      </w:r>
    </w:p>
    <w:p>
      <w:pPr>
        <w:pStyle w:val="15"/>
        <w:keepNext w:val="0"/>
        <w:keepLines w:val="0"/>
        <w:pageBreakBefore w:val="0"/>
        <w:widowControl w:val="0"/>
        <w:tabs>
          <w:tab w:val="left" w:pos="8904"/>
        </w:tabs>
        <w:kinsoku/>
        <w:overflowPunct/>
        <w:topLinePunct w:val="0"/>
        <w:autoSpaceDE/>
        <w:autoSpaceDN/>
        <w:bidi w:val="0"/>
        <w:adjustRightInd w:val="0"/>
        <w:spacing w:line="360" w:lineRule="exact"/>
        <w:ind w:left="0" w:leftChars="0" w:right="105" w:rightChars="50" w:firstLine="480" w:firstLineChars="200"/>
        <w:rPr>
          <w:rFonts w:hint="eastAsia" w:ascii="仿宋" w:hAnsi="仿宋" w:eastAsia="仿宋" w:cs="仿宋"/>
          <w:color w:val="000000"/>
        </w:rPr>
      </w:pPr>
      <w:r>
        <w:rPr>
          <w:rFonts w:hint="eastAsia" w:ascii="仿宋" w:hAnsi="仿宋" w:eastAsia="仿宋" w:cs="仿宋"/>
          <w:color w:val="000000"/>
        </w:rPr>
        <w:t>项目施工期间：场址四周应设置噪声隔离墙，选用低噪声的施工机械，从源头上减少噪声的产生，以减少对周围的环境影响。物料堆场周围设置挡风板或密目防尘网以防产生扬尘；运输车辆在运输过程中应慢速行驶且严禁超载，对装载物进行遮盖，避免撒漏或被风吹散，以减少扬尘对周围的环境影响。</w:t>
      </w:r>
    </w:p>
    <w:p>
      <w:pPr>
        <w:pStyle w:val="15"/>
        <w:keepNext w:val="0"/>
        <w:keepLines w:val="0"/>
        <w:pageBreakBefore w:val="0"/>
        <w:widowControl w:val="0"/>
        <w:tabs>
          <w:tab w:val="left" w:pos="8904"/>
        </w:tabs>
        <w:kinsoku/>
        <w:overflowPunct/>
        <w:topLinePunct w:val="0"/>
        <w:autoSpaceDE/>
        <w:autoSpaceDN/>
        <w:bidi w:val="0"/>
        <w:adjustRightInd w:val="0"/>
        <w:spacing w:line="360" w:lineRule="exact"/>
        <w:ind w:left="0" w:leftChars="0" w:right="105" w:rightChars="50" w:firstLine="480" w:firstLineChars="200"/>
        <w:rPr>
          <w:rFonts w:hint="eastAsia" w:ascii="仿宋" w:hAnsi="仿宋" w:eastAsia="仿宋" w:cs="仿宋"/>
          <w:color w:val="000000"/>
        </w:rPr>
      </w:pPr>
      <w:r>
        <w:rPr>
          <w:rFonts w:hint="eastAsia" w:ascii="仿宋" w:hAnsi="仿宋" w:eastAsia="仿宋" w:cs="仿宋"/>
          <w:color w:val="000000"/>
        </w:rPr>
        <w:t>项目营运期间：废水主要为地面清洗废水</w:t>
      </w:r>
      <w:r>
        <w:rPr>
          <w:rFonts w:hint="eastAsia" w:ascii="仿宋" w:hAnsi="仿宋" w:eastAsia="仿宋" w:cs="仿宋"/>
          <w:color w:val="000000"/>
          <w:lang w:eastAsia="zh-CN"/>
        </w:rPr>
        <w:t>和员工生活污水。</w:t>
      </w:r>
      <w:r>
        <w:rPr>
          <w:rFonts w:hint="eastAsia" w:ascii="仿宋" w:hAnsi="仿宋" w:eastAsia="仿宋" w:cs="仿宋"/>
          <w:color w:val="000000"/>
        </w:rPr>
        <w:t>地面清洗废水</w:t>
      </w:r>
      <w:r>
        <w:rPr>
          <w:rFonts w:hint="eastAsia" w:ascii="仿宋" w:hAnsi="仿宋" w:eastAsia="仿宋" w:cs="仿宋"/>
          <w:color w:val="000000"/>
          <w:lang w:eastAsia="zh-CN"/>
        </w:rPr>
        <w:t>须配套</w:t>
      </w:r>
      <w:r>
        <w:rPr>
          <w:rFonts w:hint="eastAsia" w:ascii="仿宋" w:hAnsi="仿宋" w:eastAsia="仿宋" w:cs="仿宋"/>
          <w:color w:val="000000"/>
        </w:rPr>
        <w:t>隔油</w:t>
      </w:r>
      <w:r>
        <w:rPr>
          <w:rFonts w:hint="eastAsia" w:ascii="仿宋" w:hAnsi="仿宋" w:eastAsia="仿宋" w:cs="仿宋"/>
          <w:color w:val="000000"/>
          <w:lang w:eastAsia="zh-CN"/>
        </w:rPr>
        <w:t>池</w:t>
      </w:r>
      <w:r>
        <w:rPr>
          <w:rFonts w:hint="eastAsia" w:ascii="仿宋" w:hAnsi="仿宋" w:eastAsia="仿宋" w:cs="仿宋"/>
          <w:color w:val="000000"/>
          <w:kern w:val="0"/>
          <w:sz w:val="24"/>
          <w:szCs w:val="24"/>
        </w:rPr>
        <w:t>隔油</w:t>
      </w:r>
      <w:r>
        <w:rPr>
          <w:rFonts w:hint="eastAsia" w:ascii="仿宋" w:hAnsi="仿宋" w:eastAsia="仿宋" w:cs="仿宋"/>
          <w:color w:val="000000"/>
        </w:rPr>
        <w:t>沉淀后回用，不外排</w:t>
      </w:r>
      <w:r>
        <w:rPr>
          <w:rFonts w:hint="eastAsia" w:ascii="仿宋" w:hAnsi="仿宋" w:eastAsia="仿宋" w:cs="仿宋"/>
          <w:color w:val="000000"/>
          <w:lang w:eastAsia="zh-CN"/>
        </w:rPr>
        <w:t>；</w:t>
      </w:r>
      <w:r>
        <w:rPr>
          <w:rFonts w:hint="eastAsia" w:ascii="仿宋" w:hAnsi="仿宋" w:eastAsia="仿宋" w:cs="仿宋"/>
          <w:color w:val="000000"/>
        </w:rPr>
        <w:t>员工生活污水须经三级化粪池预处理后排入保税区市政污水管网再汇入汕头市南区污水处理厂濠江分厂集中处理。</w:t>
      </w:r>
    </w:p>
    <w:p>
      <w:pPr>
        <w:keepNext w:val="0"/>
        <w:keepLines w:val="0"/>
        <w:pageBreakBefore w:val="0"/>
        <w:widowControl w:val="0"/>
        <w:kinsoku/>
        <w:wordWrap w:val="0"/>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项目运营期产生的废气主要为发电机组测试过程</w:t>
      </w:r>
      <w:r>
        <w:rPr>
          <w:rFonts w:hint="eastAsia" w:ascii="仿宋" w:hAnsi="仿宋" w:eastAsia="仿宋" w:cs="仿宋"/>
          <w:color w:val="000000"/>
          <w:kern w:val="0"/>
          <w:sz w:val="24"/>
          <w:szCs w:val="24"/>
          <w:lang w:eastAsia="zh-CN"/>
        </w:rPr>
        <w:t>中的</w:t>
      </w:r>
      <w:r>
        <w:rPr>
          <w:rFonts w:hint="eastAsia" w:ascii="仿宋" w:hAnsi="仿宋" w:eastAsia="仿宋" w:cs="仿宋"/>
          <w:color w:val="000000"/>
          <w:kern w:val="0"/>
          <w:sz w:val="24"/>
          <w:szCs w:val="24"/>
        </w:rPr>
        <w:t>燃</w:t>
      </w:r>
      <w:r>
        <w:rPr>
          <w:rFonts w:hint="eastAsia" w:ascii="仿宋" w:hAnsi="仿宋" w:eastAsia="仿宋" w:cs="仿宋"/>
          <w:color w:val="000000"/>
          <w:kern w:val="0"/>
          <w:sz w:val="24"/>
          <w:szCs w:val="24"/>
          <w:lang w:eastAsia="zh-CN"/>
        </w:rPr>
        <w:t>油</w:t>
      </w:r>
      <w:r>
        <w:rPr>
          <w:rFonts w:hint="eastAsia" w:ascii="仿宋" w:hAnsi="仿宋" w:eastAsia="仿宋" w:cs="仿宋"/>
          <w:color w:val="000000"/>
          <w:kern w:val="0"/>
          <w:sz w:val="24"/>
          <w:szCs w:val="24"/>
        </w:rPr>
        <w:t>废气、钣金加工过程中产生的切割粉尘和焊接烟气。切割粉尘</w:t>
      </w:r>
      <w:r>
        <w:rPr>
          <w:rFonts w:hint="eastAsia" w:ascii="仿宋" w:hAnsi="仿宋" w:eastAsia="仿宋" w:cs="仿宋"/>
          <w:color w:val="000000"/>
          <w:kern w:val="0"/>
          <w:sz w:val="24"/>
          <w:szCs w:val="24"/>
          <w:lang w:eastAsia="zh-CN"/>
        </w:rPr>
        <w:t>为</w:t>
      </w:r>
      <w:r>
        <w:rPr>
          <w:rFonts w:hint="eastAsia" w:ascii="仿宋" w:hAnsi="仿宋" w:eastAsia="仿宋" w:cs="仿宋"/>
          <w:color w:val="000000"/>
          <w:kern w:val="0"/>
          <w:sz w:val="24"/>
          <w:szCs w:val="24"/>
        </w:rPr>
        <w:t>无组织排放</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测试废气</w:t>
      </w:r>
      <w:r>
        <w:rPr>
          <w:rFonts w:hint="eastAsia" w:ascii="仿宋" w:hAnsi="仿宋" w:eastAsia="仿宋" w:cs="仿宋"/>
          <w:color w:val="000000"/>
          <w:kern w:val="0"/>
          <w:sz w:val="24"/>
          <w:szCs w:val="24"/>
          <w:lang w:eastAsia="zh-CN"/>
        </w:rPr>
        <w:t>经收集后经排气筒引高排放；</w:t>
      </w:r>
      <w:r>
        <w:rPr>
          <w:rFonts w:hint="eastAsia" w:ascii="仿宋" w:hAnsi="仿宋" w:eastAsia="仿宋" w:cs="仿宋"/>
          <w:color w:val="000000"/>
          <w:kern w:val="0"/>
          <w:sz w:val="24"/>
          <w:szCs w:val="24"/>
        </w:rPr>
        <w:t>焊接烟气</w:t>
      </w:r>
      <w:r>
        <w:rPr>
          <w:rFonts w:hint="eastAsia" w:ascii="仿宋" w:hAnsi="仿宋" w:eastAsia="仿宋" w:cs="仿宋"/>
          <w:color w:val="000000"/>
          <w:kern w:val="0"/>
          <w:sz w:val="24"/>
          <w:szCs w:val="24"/>
          <w:lang w:eastAsia="zh-CN"/>
        </w:rPr>
        <w:t>须配套</w:t>
      </w:r>
      <w:r>
        <w:rPr>
          <w:rFonts w:hint="eastAsia" w:ascii="仿宋" w:hAnsi="仿宋" w:eastAsia="仿宋" w:cs="仿宋"/>
          <w:color w:val="000000"/>
          <w:kern w:val="0"/>
          <w:sz w:val="24"/>
          <w:szCs w:val="24"/>
        </w:rPr>
        <w:t>静电吸附式烟雾净化装置</w:t>
      </w:r>
      <w:r>
        <w:rPr>
          <w:rFonts w:hint="eastAsia" w:ascii="仿宋" w:hAnsi="仿宋" w:eastAsia="仿宋" w:cs="仿宋"/>
          <w:color w:val="000000"/>
          <w:kern w:val="0"/>
          <w:sz w:val="24"/>
          <w:szCs w:val="24"/>
          <w:lang w:eastAsia="zh-CN"/>
        </w:rPr>
        <w:t>处理后经排气筒引高排放。排气筒高度应不低于</w:t>
      </w:r>
      <w:r>
        <w:rPr>
          <w:rFonts w:hint="eastAsia" w:ascii="仿宋" w:hAnsi="仿宋" w:eastAsia="仿宋" w:cs="仿宋"/>
          <w:color w:val="000000"/>
          <w:kern w:val="0"/>
          <w:sz w:val="24"/>
          <w:szCs w:val="24"/>
          <w:lang w:val="en-US" w:eastAsia="zh-CN"/>
        </w:rPr>
        <w:t>15米。</w:t>
      </w:r>
    </w:p>
    <w:p>
      <w:pPr>
        <w:pStyle w:val="15"/>
        <w:keepNext w:val="0"/>
        <w:keepLines w:val="0"/>
        <w:pageBreakBefore w:val="0"/>
        <w:widowControl w:val="0"/>
        <w:tabs>
          <w:tab w:val="left" w:pos="8904"/>
        </w:tabs>
        <w:kinsoku/>
        <w:overflowPunct/>
        <w:topLinePunct w:val="0"/>
        <w:autoSpaceDE/>
        <w:autoSpaceDN/>
        <w:bidi w:val="0"/>
        <w:adjustRightInd w:val="0"/>
        <w:spacing w:line="360" w:lineRule="exact"/>
        <w:ind w:left="0" w:leftChars="0" w:right="105" w:rightChars="50" w:firstLine="480" w:firstLineChars="200"/>
        <w:rPr>
          <w:rFonts w:ascii="仿宋" w:hAnsi="仿宋" w:eastAsia="仿宋" w:cs="仿宋"/>
          <w:color w:val="000000"/>
        </w:rPr>
      </w:pPr>
      <w:r>
        <w:rPr>
          <w:rFonts w:hint="eastAsia" w:ascii="仿宋" w:hAnsi="仿宋" w:eastAsia="仿宋" w:cs="仿宋"/>
          <w:color w:val="000000"/>
        </w:rPr>
        <w:t>项目</w:t>
      </w:r>
      <w:r>
        <w:rPr>
          <w:rFonts w:ascii="仿宋" w:hAnsi="仿宋" w:eastAsia="仿宋" w:cs="仿宋"/>
          <w:color w:val="000000"/>
        </w:rPr>
        <w:t>噪声主要来自</w:t>
      </w:r>
      <w:r>
        <w:rPr>
          <w:rFonts w:hint="eastAsia" w:ascii="仿宋" w:hAnsi="仿宋" w:eastAsia="仿宋" w:cs="仿宋"/>
          <w:color w:val="000000"/>
          <w:lang w:eastAsia="zh-CN"/>
        </w:rPr>
        <w:t>生产过程中的</w:t>
      </w:r>
      <w:r>
        <w:rPr>
          <w:rFonts w:ascii="仿宋" w:hAnsi="仿宋" w:eastAsia="仿宋" w:cs="仿宋"/>
          <w:color w:val="000000"/>
        </w:rPr>
        <w:t>车间设备</w:t>
      </w:r>
      <w:r>
        <w:rPr>
          <w:rFonts w:hint="eastAsia" w:ascii="仿宋" w:hAnsi="仿宋" w:eastAsia="仿宋" w:cs="仿宋"/>
          <w:color w:val="000000"/>
          <w:lang w:eastAsia="zh-CN"/>
        </w:rPr>
        <w:t>，</w:t>
      </w:r>
      <w:r>
        <w:rPr>
          <w:rFonts w:hint="eastAsia" w:ascii="仿宋" w:hAnsi="仿宋" w:eastAsia="仿宋" w:cs="仿宋"/>
          <w:color w:val="000000"/>
        </w:rPr>
        <w:t>须采取</w:t>
      </w:r>
      <w:r>
        <w:rPr>
          <w:rFonts w:hint="eastAsia" w:ascii="仿宋" w:hAnsi="仿宋" w:eastAsia="仿宋" w:cs="仿宋"/>
          <w:color w:val="000000"/>
          <w:spacing w:val="-11"/>
        </w:rPr>
        <w:t>减震、隔声等措施，</w:t>
      </w:r>
      <w:r>
        <w:rPr>
          <w:rFonts w:hint="eastAsia" w:ascii="仿宋" w:hAnsi="仿宋" w:eastAsia="仿宋" w:cs="仿宋"/>
          <w:color w:val="000000"/>
        </w:rPr>
        <w:t>确保噪声达标排放。</w:t>
      </w:r>
    </w:p>
    <w:p>
      <w:pPr>
        <w:pStyle w:val="15"/>
        <w:keepNext w:val="0"/>
        <w:keepLines w:val="0"/>
        <w:pageBreakBefore w:val="0"/>
        <w:widowControl w:val="0"/>
        <w:tabs>
          <w:tab w:val="left" w:pos="8904"/>
        </w:tabs>
        <w:kinsoku/>
        <w:overflowPunct/>
        <w:topLinePunct w:val="0"/>
        <w:autoSpaceDE/>
        <w:autoSpaceDN/>
        <w:bidi w:val="0"/>
        <w:adjustRightInd w:val="0"/>
        <w:spacing w:line="360" w:lineRule="exact"/>
        <w:ind w:left="0" w:leftChars="0" w:right="105" w:rightChars="50" w:firstLine="480" w:firstLineChars="200"/>
        <w:rPr>
          <w:rFonts w:hint="eastAsia" w:ascii="仿宋" w:hAnsi="仿宋" w:eastAsia="仿宋" w:cs="仿宋"/>
          <w:color w:val="000000"/>
        </w:rPr>
      </w:pPr>
      <w:r>
        <w:rPr>
          <w:rFonts w:hint="eastAsia" w:ascii="仿宋" w:hAnsi="仿宋" w:eastAsia="仿宋" w:cs="仿宋"/>
          <w:color w:val="000000"/>
        </w:rPr>
        <w:t>项目</w:t>
      </w:r>
      <w:r>
        <w:rPr>
          <w:rFonts w:ascii="仿宋" w:hAnsi="仿宋" w:eastAsia="仿宋" w:cs="仿宋"/>
          <w:color w:val="000000"/>
        </w:rPr>
        <w:t>固体废物</w:t>
      </w:r>
      <w:r>
        <w:rPr>
          <w:rFonts w:hint="eastAsia" w:ascii="仿宋" w:hAnsi="仿宋" w:eastAsia="仿宋" w:cs="仿宋"/>
          <w:color w:val="000000"/>
          <w:lang w:eastAsia="zh-CN"/>
        </w:rPr>
        <w:t>中，</w:t>
      </w:r>
      <w:r>
        <w:rPr>
          <w:rFonts w:ascii="仿宋" w:hAnsi="仿宋" w:eastAsia="仿宋" w:cs="仿宋"/>
          <w:color w:val="000000"/>
        </w:rPr>
        <w:t>金属屑及金属边角料、包装过程产生的包装废料、检验过程产生的废零配件</w:t>
      </w:r>
      <w:r>
        <w:rPr>
          <w:rFonts w:hint="eastAsia" w:ascii="仿宋" w:hAnsi="仿宋" w:eastAsia="仿宋" w:cs="仿宋"/>
          <w:color w:val="000000"/>
          <w:lang w:eastAsia="zh-CN"/>
        </w:rPr>
        <w:t>等</w:t>
      </w:r>
      <w:r>
        <w:rPr>
          <w:rFonts w:hint="eastAsia" w:ascii="仿宋" w:hAnsi="仿宋" w:eastAsia="仿宋" w:cs="仿宋"/>
          <w:color w:val="000000"/>
        </w:rPr>
        <w:t>由专门的公司、厂家进行回收利用</w:t>
      </w:r>
      <w:r>
        <w:rPr>
          <w:rFonts w:hint="eastAsia" w:ascii="仿宋" w:hAnsi="仿宋" w:eastAsia="仿宋" w:cs="仿宋"/>
          <w:color w:val="000000"/>
          <w:lang w:eastAsia="zh-CN"/>
        </w:rPr>
        <w:t>；</w:t>
      </w:r>
      <w:r>
        <w:rPr>
          <w:rFonts w:ascii="仿宋" w:hAnsi="仿宋" w:eastAsia="仿宋" w:cs="仿宋"/>
          <w:color w:val="000000"/>
        </w:rPr>
        <w:t>废机油、隔油池废油、含油废抹布</w:t>
      </w:r>
      <w:r>
        <w:rPr>
          <w:rFonts w:hint="eastAsia" w:ascii="仿宋" w:hAnsi="仿宋" w:eastAsia="仿宋" w:cs="仿宋"/>
          <w:color w:val="000000"/>
          <w:lang w:eastAsia="zh-CN"/>
        </w:rPr>
        <w:t>经收集后统一交由有资质的危废处置单位转移处置；</w:t>
      </w:r>
      <w:r>
        <w:rPr>
          <w:rFonts w:hint="eastAsia" w:ascii="仿宋" w:hAnsi="仿宋" w:eastAsia="仿宋" w:cs="仿宋"/>
          <w:color w:val="000000"/>
        </w:rPr>
        <w:t>生活垃圾及污泥应统一收集后交环卫部门处理，日产日清。</w:t>
      </w:r>
    </w:p>
    <w:p>
      <w:pPr>
        <w:pStyle w:val="15"/>
        <w:keepNext w:val="0"/>
        <w:keepLines w:val="0"/>
        <w:pageBreakBefore w:val="0"/>
        <w:widowControl w:val="0"/>
        <w:tabs>
          <w:tab w:val="left" w:pos="8904"/>
        </w:tabs>
        <w:kinsoku/>
        <w:overflowPunct/>
        <w:topLinePunct w:val="0"/>
        <w:autoSpaceDE/>
        <w:autoSpaceDN/>
        <w:bidi w:val="0"/>
        <w:adjustRightInd w:val="0"/>
        <w:spacing w:line="360" w:lineRule="exact"/>
        <w:ind w:left="0" w:leftChars="0" w:right="105" w:rightChars="50" w:firstLine="480" w:firstLineChars="200"/>
        <w:rPr>
          <w:rFonts w:hint="eastAsia" w:ascii="仿宋" w:hAnsi="仿宋" w:eastAsia="仿宋" w:cs="仿宋"/>
          <w:color w:val="000000"/>
        </w:rPr>
      </w:pPr>
      <w:r>
        <w:rPr>
          <w:rFonts w:hint="eastAsia" w:ascii="仿宋" w:hAnsi="仿宋" w:eastAsia="仿宋" w:cs="仿宋"/>
          <w:color w:val="000000"/>
        </w:rPr>
        <w:t>应建立健全环保管理制度，强化各项环保管理人员综合能力。</w:t>
      </w:r>
    </w:p>
    <w:p>
      <w:pPr>
        <w:pStyle w:val="15"/>
        <w:keepNext w:val="0"/>
        <w:keepLines w:val="0"/>
        <w:pageBreakBefore w:val="0"/>
        <w:widowControl w:val="0"/>
        <w:tabs>
          <w:tab w:val="left" w:pos="8904"/>
        </w:tabs>
        <w:kinsoku/>
        <w:overflowPunct/>
        <w:topLinePunct w:val="0"/>
        <w:autoSpaceDE/>
        <w:autoSpaceDN/>
        <w:bidi w:val="0"/>
        <w:adjustRightInd w:val="0"/>
        <w:spacing w:line="360" w:lineRule="exact"/>
        <w:ind w:left="0" w:leftChars="0" w:right="105" w:rightChars="50" w:firstLine="480" w:firstLineChars="200"/>
        <w:rPr>
          <w:rFonts w:hint="eastAsia" w:ascii="仿宋" w:hAnsi="仿宋" w:eastAsia="仿宋" w:cs="仿宋"/>
          <w:color w:val="000000"/>
          <w:spacing w:val="-17"/>
        </w:rPr>
      </w:pPr>
      <w:r>
        <w:rPr>
          <w:rFonts w:hint="eastAsia" w:ascii="仿宋" w:hAnsi="仿宋" w:eastAsia="仿宋" w:cs="仿宋"/>
          <w:color w:val="000000"/>
        </w:rPr>
        <w:t>项目污染物排放总量指标控制为</w:t>
      </w:r>
      <w:r>
        <w:rPr>
          <w:rFonts w:hint="eastAsia" w:ascii="仿宋" w:hAnsi="仿宋" w:eastAsia="仿宋" w:cs="仿宋"/>
          <w:color w:val="000000"/>
          <w:spacing w:val="-17"/>
        </w:rPr>
        <w:t>：</w:t>
      </w:r>
      <w:r>
        <w:rPr>
          <w:rFonts w:hint="eastAsia" w:ascii="仿宋" w:hAnsi="仿宋" w:eastAsia="仿宋" w:cs="仿宋"/>
          <w:color w:val="000000"/>
          <w:kern w:val="0"/>
          <w:sz w:val="24"/>
          <w:szCs w:val="24"/>
        </w:rPr>
        <w:t>各项水污染物排放指标纳入汕头市南区污水处理厂濠江分厂统一管理；</w:t>
      </w:r>
      <w:bookmarkStart w:id="0" w:name="_GoBack"/>
      <w:bookmarkEnd w:id="0"/>
      <w:r>
        <w:rPr>
          <w:rFonts w:hint="eastAsia" w:ascii="仿宋" w:hAnsi="仿宋" w:eastAsia="仿宋" w:cs="仿宋"/>
          <w:color w:val="000000"/>
          <w:spacing w:val="-17"/>
        </w:rPr>
        <w:t>SO</w:t>
      </w:r>
      <w:r>
        <w:rPr>
          <w:rFonts w:hint="eastAsia" w:ascii="仿宋" w:hAnsi="仿宋" w:eastAsia="仿宋" w:cs="仿宋"/>
          <w:color w:val="000000"/>
          <w:spacing w:val="-17"/>
          <w:vertAlign w:val="subscript"/>
        </w:rPr>
        <w:t>2</w:t>
      </w:r>
      <w:r>
        <w:rPr>
          <w:rFonts w:hint="eastAsia" w:ascii="仿宋" w:hAnsi="仿宋" w:eastAsia="仿宋" w:cs="仿宋"/>
          <w:color w:val="000000"/>
          <w:spacing w:val="-17"/>
        </w:rPr>
        <w:t>：0.00107t/a；</w:t>
      </w:r>
      <w:r>
        <w:rPr>
          <w:rFonts w:hint="eastAsia" w:ascii="仿宋" w:hAnsi="仿宋" w:eastAsia="仿宋" w:cs="仿宋"/>
          <w:color w:val="000000"/>
          <w:spacing w:val="-17"/>
          <w:lang w:val="en-US" w:eastAsia="zh-CN"/>
        </w:rPr>
        <w:t xml:space="preserve"> </w:t>
      </w:r>
      <w:r>
        <w:rPr>
          <w:rFonts w:hint="eastAsia" w:ascii="仿宋" w:hAnsi="仿宋" w:eastAsia="仿宋" w:cs="仿宋"/>
          <w:color w:val="000000"/>
          <w:spacing w:val="-17"/>
        </w:rPr>
        <w:t>NOx：0.00209t/a；</w:t>
      </w:r>
      <w:r>
        <w:rPr>
          <w:rFonts w:hint="eastAsia" w:ascii="仿宋" w:hAnsi="仿宋" w:eastAsia="仿宋" w:cs="仿宋"/>
          <w:color w:val="000000"/>
          <w:spacing w:val="-17"/>
          <w:lang w:val="en-US" w:eastAsia="zh-CN"/>
        </w:rPr>
        <w:t>有机废气</w:t>
      </w:r>
      <w:r>
        <w:rPr>
          <w:rFonts w:hint="eastAsia" w:ascii="仿宋" w:hAnsi="仿宋" w:eastAsia="仿宋" w:cs="仿宋"/>
          <w:color w:val="000000"/>
          <w:spacing w:val="-17"/>
        </w:rPr>
        <w:t>：0.00105t/a。</w:t>
      </w:r>
    </w:p>
    <w:p>
      <w:pPr>
        <w:pStyle w:val="15"/>
        <w:keepNext w:val="0"/>
        <w:keepLines w:val="0"/>
        <w:pageBreakBefore w:val="0"/>
        <w:widowControl w:val="0"/>
        <w:tabs>
          <w:tab w:val="left" w:pos="8904"/>
        </w:tabs>
        <w:kinsoku/>
        <w:overflowPunct/>
        <w:topLinePunct w:val="0"/>
        <w:autoSpaceDE/>
        <w:autoSpaceDN/>
        <w:bidi w:val="0"/>
        <w:adjustRightInd w:val="0"/>
        <w:spacing w:line="360" w:lineRule="exact"/>
        <w:ind w:left="0" w:leftChars="0" w:right="105" w:rightChars="50" w:firstLine="480" w:firstLineChars="200"/>
        <w:rPr>
          <w:rFonts w:hint="eastAsia" w:ascii="仿宋" w:hAnsi="仿宋" w:eastAsia="仿宋" w:cs="仿宋"/>
          <w:color w:val="000000"/>
        </w:rPr>
      </w:pPr>
      <w:r>
        <w:rPr>
          <w:rFonts w:hint="eastAsia" w:ascii="仿宋" w:hAnsi="仿宋" w:eastAsia="仿宋" w:cs="仿宋"/>
          <w:color w:val="000000"/>
        </w:rPr>
        <w:t>批复未尽事项，按该项目《环境影响报告表》执行。</w:t>
      </w:r>
    </w:p>
    <w:p>
      <w:pPr>
        <w:keepNext w:val="0"/>
        <w:keepLines w:val="0"/>
        <w:pageBreakBefore w:val="0"/>
        <w:widowControl w:val="0"/>
        <w:kinsoku/>
        <w:overflowPunct/>
        <w:topLinePunct w:val="0"/>
        <w:autoSpaceDE/>
        <w:autoSpaceDN/>
        <w:bidi w:val="0"/>
        <w:adjustRightInd w:val="0"/>
        <w:spacing w:line="360" w:lineRule="exact"/>
        <w:ind w:firstLine="480"/>
        <w:rPr>
          <w:rFonts w:ascii="仿宋" w:hAnsi="仿宋" w:eastAsia="仿宋" w:cs="仿宋"/>
          <w:color w:val="000000"/>
          <w:kern w:val="0"/>
          <w:sz w:val="24"/>
        </w:rPr>
      </w:pPr>
    </w:p>
    <w:p>
      <w:pPr>
        <w:keepNext w:val="0"/>
        <w:keepLines w:val="0"/>
        <w:pageBreakBefore w:val="0"/>
        <w:widowControl w:val="0"/>
        <w:kinsoku/>
        <w:overflowPunct/>
        <w:topLinePunct w:val="0"/>
        <w:autoSpaceDE/>
        <w:autoSpaceDN/>
        <w:bidi w:val="0"/>
        <w:adjustRightInd w:val="0"/>
        <w:spacing w:line="360" w:lineRule="exact"/>
        <w:ind w:firstLine="480"/>
        <w:rPr>
          <w:rFonts w:ascii="仿宋" w:hAnsi="仿宋" w:eastAsia="仿宋" w:cs="仿宋"/>
          <w:b/>
          <w:color w:val="000000"/>
          <w:kern w:val="0"/>
          <w:sz w:val="24"/>
        </w:rPr>
      </w:pPr>
      <w:r>
        <w:rPr>
          <w:rFonts w:hint="eastAsia" w:ascii="仿宋" w:hAnsi="仿宋" w:eastAsia="仿宋" w:cs="仿宋"/>
          <w:b/>
          <w:color w:val="000000"/>
          <w:kern w:val="0"/>
          <w:sz w:val="24"/>
        </w:rPr>
        <w:t>该项目执行标准：</w:t>
      </w:r>
    </w:p>
    <w:p>
      <w:pPr>
        <w:keepNext w:val="0"/>
        <w:keepLines w:val="0"/>
        <w:pageBreakBefore w:val="0"/>
        <w:widowControl w:val="0"/>
        <w:kinsoku/>
        <w:overflowPunct/>
        <w:topLinePunct w:val="0"/>
        <w:autoSpaceDE/>
        <w:autoSpaceDN/>
        <w:bidi w:val="0"/>
        <w:adjustRightInd w:val="0"/>
        <w:spacing w:line="36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一、废水排放执行《水污染排放限值》（DB44/26--2001）第二时段三级标准。</w:t>
      </w:r>
    </w:p>
    <w:p>
      <w:pPr>
        <w:keepNext w:val="0"/>
        <w:keepLines w:val="0"/>
        <w:pageBreakBefore w:val="0"/>
        <w:widowControl w:val="0"/>
        <w:kinsoku/>
        <w:overflowPunct/>
        <w:topLinePunct w:val="0"/>
        <w:autoSpaceDE/>
        <w:autoSpaceDN/>
        <w:bidi w:val="0"/>
        <w:adjustRightInd w:val="0"/>
        <w:spacing w:line="360" w:lineRule="exact"/>
        <w:ind w:firstLine="480"/>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二、发电机组燃烧废气执行《大气污染物排放限值》（DB44/27-2001）第二时段二级标准要求</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粉尘排放执行广东省《大气污染物排放表》（DB44/27-2001）第二时段无组织排放</w:t>
      </w:r>
      <w:r>
        <w:rPr>
          <w:rFonts w:hint="eastAsia" w:ascii="仿宋" w:hAnsi="仿宋" w:eastAsia="仿宋" w:cs="仿宋"/>
          <w:color w:val="000000"/>
          <w:kern w:val="0"/>
          <w:sz w:val="24"/>
          <w:lang w:val="en-US" w:eastAsia="zh-CN"/>
        </w:rPr>
        <w:t>监控要求</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挥发性有机物（VOCs）排放</w:t>
      </w:r>
      <w:r>
        <w:rPr>
          <w:rFonts w:hint="eastAsia" w:ascii="仿宋" w:hAnsi="仿宋" w:eastAsia="仿宋" w:cs="仿宋"/>
          <w:color w:val="000000"/>
          <w:kern w:val="0"/>
          <w:sz w:val="24"/>
          <w:lang w:eastAsia="zh-CN"/>
        </w:rPr>
        <w:t>执行</w:t>
      </w:r>
      <w:r>
        <w:rPr>
          <w:rFonts w:hint="eastAsia" w:ascii="仿宋" w:hAnsi="仿宋" w:eastAsia="仿宋" w:cs="仿宋"/>
          <w:color w:val="000000"/>
          <w:kern w:val="0"/>
          <w:sz w:val="24"/>
        </w:rPr>
        <w:t>《家具制造行业挥发性有机化合物排放标准》（DB44/814-2010）无组织排放监控点浓度限值</w:t>
      </w:r>
      <w:r>
        <w:rPr>
          <w:rFonts w:hint="eastAsia" w:ascii="仿宋" w:hAnsi="仿宋" w:eastAsia="仿宋" w:cs="仿宋"/>
          <w:color w:val="000000"/>
          <w:kern w:val="0"/>
          <w:sz w:val="24"/>
          <w:lang w:eastAsia="zh-CN"/>
        </w:rPr>
        <w:t>。</w:t>
      </w:r>
    </w:p>
    <w:p>
      <w:pPr>
        <w:keepNext w:val="0"/>
        <w:keepLines w:val="0"/>
        <w:pageBreakBefore w:val="0"/>
        <w:widowControl w:val="0"/>
        <w:kinsoku/>
        <w:overflowPunct/>
        <w:topLinePunct w:val="0"/>
        <w:autoSpaceDE/>
        <w:autoSpaceDN/>
        <w:bidi w:val="0"/>
        <w:adjustRightInd w:val="0"/>
        <w:spacing w:line="36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三、噪声排放执行《工业企业厂界环境噪声排放标准》（GB12348-2008）3类标准。</w:t>
      </w:r>
    </w:p>
    <w:p>
      <w:pPr>
        <w:keepNext w:val="0"/>
        <w:keepLines w:val="0"/>
        <w:pageBreakBefore w:val="0"/>
        <w:widowControl w:val="0"/>
        <w:kinsoku/>
        <w:overflowPunct/>
        <w:topLinePunct w:val="0"/>
        <w:autoSpaceDE/>
        <w:autoSpaceDN/>
        <w:bidi w:val="0"/>
        <w:adjustRightInd w:val="0"/>
        <w:spacing w:line="36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四、</w:t>
      </w:r>
      <w:r>
        <w:rPr>
          <w:rFonts w:hint="eastAsia" w:ascii="仿宋" w:hAnsi="仿宋" w:eastAsia="仿宋" w:cs="仿宋"/>
          <w:color w:val="000000"/>
          <w:kern w:val="0"/>
          <w:sz w:val="24"/>
        </w:rPr>
        <w:t>危险废物临时存放应符合《危险废物贮存污染控制标准》（GB18597-2001）要求</w:t>
      </w:r>
      <w:r>
        <w:rPr>
          <w:rFonts w:hint="eastAsia" w:ascii="仿宋" w:hAnsi="仿宋" w:eastAsia="仿宋" w:cs="仿宋"/>
          <w:color w:val="000000"/>
          <w:kern w:val="0"/>
          <w:sz w:val="24"/>
          <w:lang w:eastAsia="zh-CN"/>
        </w:rPr>
        <w:t>；一般</w:t>
      </w:r>
      <w:r>
        <w:rPr>
          <w:rFonts w:hint="eastAsia" w:ascii="仿宋" w:hAnsi="仿宋" w:eastAsia="仿宋" w:cs="仿宋"/>
          <w:color w:val="000000"/>
          <w:kern w:val="0"/>
          <w:sz w:val="24"/>
        </w:rPr>
        <w:t>固体废物遵照《一般工业固体废物贮存、处理场污染控制标准》（GB18599-2001）及修改单（环境保护部公告2013年第36号）进行管理。</w:t>
      </w:r>
    </w:p>
    <w:p>
      <w:pPr>
        <w:keepNext w:val="0"/>
        <w:keepLines w:val="0"/>
        <w:pageBreakBefore w:val="0"/>
        <w:widowControl w:val="0"/>
        <w:kinsoku/>
        <w:overflowPunct/>
        <w:topLinePunct w:val="0"/>
        <w:autoSpaceDE/>
        <w:autoSpaceDN/>
        <w:bidi w:val="0"/>
        <w:adjustRightInd w:val="0"/>
        <w:spacing w:line="360" w:lineRule="exact"/>
        <w:ind w:firstLine="480"/>
        <w:rPr>
          <w:rFonts w:ascii="仿宋" w:hAnsi="仿宋" w:eastAsia="仿宋" w:cs="仿宋"/>
          <w:color w:val="000000"/>
          <w:kern w:val="0"/>
          <w:sz w:val="24"/>
        </w:rPr>
      </w:pPr>
      <w:r>
        <w:rPr>
          <w:rFonts w:hint="eastAsia" w:ascii="仿宋" w:hAnsi="仿宋" w:eastAsia="仿宋" w:cs="仿宋"/>
          <w:color w:val="000000"/>
          <w:kern w:val="0"/>
          <w:sz w:val="24"/>
          <w:lang w:eastAsia="zh-CN"/>
        </w:rPr>
        <w:t>五、</w:t>
      </w:r>
      <w:r>
        <w:rPr>
          <w:rFonts w:hint="eastAsia" w:ascii="仿宋" w:hAnsi="仿宋" w:eastAsia="仿宋" w:cs="仿宋"/>
          <w:color w:val="000000"/>
          <w:kern w:val="0"/>
          <w:sz w:val="24"/>
        </w:rPr>
        <w:t>施工场地边界噪声执行《建筑施工场界噪声限值》（GB12523--2011）标准。</w:t>
      </w:r>
    </w:p>
    <w:sectPr>
      <w:footerReference r:id="rId3" w:type="default"/>
      <w:pgSz w:w="11906" w:h="16838"/>
      <w:pgMar w:top="1134" w:right="1134" w:bottom="1134" w:left="1134"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46D"/>
    <w:rsid w:val="00002B4E"/>
    <w:rsid w:val="0001393C"/>
    <w:rsid w:val="000724FC"/>
    <w:rsid w:val="000803B2"/>
    <w:rsid w:val="001000F3"/>
    <w:rsid w:val="00106784"/>
    <w:rsid w:val="001115CE"/>
    <w:rsid w:val="00113E71"/>
    <w:rsid w:val="001209AE"/>
    <w:rsid w:val="001324D8"/>
    <w:rsid w:val="001415C8"/>
    <w:rsid w:val="001427DA"/>
    <w:rsid w:val="001440B5"/>
    <w:rsid w:val="0014609D"/>
    <w:rsid w:val="00177B41"/>
    <w:rsid w:val="00180AA3"/>
    <w:rsid w:val="001817E5"/>
    <w:rsid w:val="0018406A"/>
    <w:rsid w:val="001959F2"/>
    <w:rsid w:val="001C3F96"/>
    <w:rsid w:val="001C4305"/>
    <w:rsid w:val="001D08D2"/>
    <w:rsid w:val="001E5C39"/>
    <w:rsid w:val="00255A5F"/>
    <w:rsid w:val="00257B24"/>
    <w:rsid w:val="00285A53"/>
    <w:rsid w:val="00293139"/>
    <w:rsid w:val="00297E83"/>
    <w:rsid w:val="002A0C93"/>
    <w:rsid w:val="002C41BE"/>
    <w:rsid w:val="0030558E"/>
    <w:rsid w:val="003070E8"/>
    <w:rsid w:val="00370CB9"/>
    <w:rsid w:val="003848DB"/>
    <w:rsid w:val="003935CA"/>
    <w:rsid w:val="003A31A1"/>
    <w:rsid w:val="003F4D2C"/>
    <w:rsid w:val="00405999"/>
    <w:rsid w:val="00416418"/>
    <w:rsid w:val="0042318B"/>
    <w:rsid w:val="004268E2"/>
    <w:rsid w:val="00427F5A"/>
    <w:rsid w:val="00431577"/>
    <w:rsid w:val="00457F61"/>
    <w:rsid w:val="00460F25"/>
    <w:rsid w:val="004765D1"/>
    <w:rsid w:val="00483826"/>
    <w:rsid w:val="004960F3"/>
    <w:rsid w:val="004B562F"/>
    <w:rsid w:val="004C57A0"/>
    <w:rsid w:val="004F6EC0"/>
    <w:rsid w:val="00500A75"/>
    <w:rsid w:val="00501F14"/>
    <w:rsid w:val="00516C35"/>
    <w:rsid w:val="00533F29"/>
    <w:rsid w:val="00562C48"/>
    <w:rsid w:val="0056575D"/>
    <w:rsid w:val="005A77F2"/>
    <w:rsid w:val="005B19A9"/>
    <w:rsid w:val="005C5F5B"/>
    <w:rsid w:val="005E64D6"/>
    <w:rsid w:val="005F646D"/>
    <w:rsid w:val="00621E5D"/>
    <w:rsid w:val="007045F7"/>
    <w:rsid w:val="00734FC3"/>
    <w:rsid w:val="00763EA0"/>
    <w:rsid w:val="00785211"/>
    <w:rsid w:val="007A201F"/>
    <w:rsid w:val="007F10E3"/>
    <w:rsid w:val="00811C80"/>
    <w:rsid w:val="00821C82"/>
    <w:rsid w:val="008538E3"/>
    <w:rsid w:val="008733D9"/>
    <w:rsid w:val="00886621"/>
    <w:rsid w:val="008B43C8"/>
    <w:rsid w:val="008C31C3"/>
    <w:rsid w:val="008E350B"/>
    <w:rsid w:val="0092491A"/>
    <w:rsid w:val="009421A6"/>
    <w:rsid w:val="009628CE"/>
    <w:rsid w:val="00965009"/>
    <w:rsid w:val="00991F32"/>
    <w:rsid w:val="00997336"/>
    <w:rsid w:val="009A3763"/>
    <w:rsid w:val="009D6004"/>
    <w:rsid w:val="009F6B30"/>
    <w:rsid w:val="00A1587D"/>
    <w:rsid w:val="00A16D16"/>
    <w:rsid w:val="00A327FB"/>
    <w:rsid w:val="00A42E9D"/>
    <w:rsid w:val="00A75F11"/>
    <w:rsid w:val="00A9212D"/>
    <w:rsid w:val="00AA4D74"/>
    <w:rsid w:val="00AB3F0D"/>
    <w:rsid w:val="00AC3EB6"/>
    <w:rsid w:val="00AD72AB"/>
    <w:rsid w:val="00B30040"/>
    <w:rsid w:val="00B34100"/>
    <w:rsid w:val="00B550D3"/>
    <w:rsid w:val="00B73832"/>
    <w:rsid w:val="00B8508D"/>
    <w:rsid w:val="00B97F12"/>
    <w:rsid w:val="00BA6A83"/>
    <w:rsid w:val="00BC1313"/>
    <w:rsid w:val="00BC6A80"/>
    <w:rsid w:val="00BD5E5E"/>
    <w:rsid w:val="00C92A82"/>
    <w:rsid w:val="00CA2D00"/>
    <w:rsid w:val="00CF4581"/>
    <w:rsid w:val="00D373A0"/>
    <w:rsid w:val="00D912E2"/>
    <w:rsid w:val="00DD2C05"/>
    <w:rsid w:val="00DF2E0F"/>
    <w:rsid w:val="00E064A4"/>
    <w:rsid w:val="00E21CD7"/>
    <w:rsid w:val="00E34087"/>
    <w:rsid w:val="00E37D55"/>
    <w:rsid w:val="00E434ED"/>
    <w:rsid w:val="00E537DA"/>
    <w:rsid w:val="00E734EB"/>
    <w:rsid w:val="00E83768"/>
    <w:rsid w:val="00EA026D"/>
    <w:rsid w:val="00EC58DB"/>
    <w:rsid w:val="00EC726D"/>
    <w:rsid w:val="00EE5525"/>
    <w:rsid w:val="00F13D4C"/>
    <w:rsid w:val="00F32C60"/>
    <w:rsid w:val="00F41BAF"/>
    <w:rsid w:val="00F555C2"/>
    <w:rsid w:val="00F63AC4"/>
    <w:rsid w:val="00FB27ED"/>
    <w:rsid w:val="00FD222E"/>
    <w:rsid w:val="043A4999"/>
    <w:rsid w:val="04EE7B2A"/>
    <w:rsid w:val="07993C59"/>
    <w:rsid w:val="10B11C0C"/>
    <w:rsid w:val="1AB46B8D"/>
    <w:rsid w:val="1FD85F66"/>
    <w:rsid w:val="231309DB"/>
    <w:rsid w:val="2CCF2D13"/>
    <w:rsid w:val="2CEB06EC"/>
    <w:rsid w:val="316350E8"/>
    <w:rsid w:val="328D07C5"/>
    <w:rsid w:val="32F3432B"/>
    <w:rsid w:val="341D3534"/>
    <w:rsid w:val="34F479C9"/>
    <w:rsid w:val="42D62F3E"/>
    <w:rsid w:val="4567024E"/>
    <w:rsid w:val="4F783606"/>
    <w:rsid w:val="52A73883"/>
    <w:rsid w:val="56094D12"/>
    <w:rsid w:val="57101EAA"/>
    <w:rsid w:val="57FA797C"/>
    <w:rsid w:val="58D0005A"/>
    <w:rsid w:val="5AAE2712"/>
    <w:rsid w:val="5B472603"/>
    <w:rsid w:val="5C8B720C"/>
    <w:rsid w:val="5DBD7CF7"/>
    <w:rsid w:val="61771E4D"/>
    <w:rsid w:val="64932D5D"/>
    <w:rsid w:val="6B874A30"/>
    <w:rsid w:val="704233D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Balloon Text"/>
    <w:basedOn w:val="1"/>
    <w:link w:val="14"/>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paragraph" w:customStyle="1" w:styleId="9">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0">
    <w:name w:val="页眉 Char"/>
    <w:basedOn w:val="7"/>
    <w:link w:val="5"/>
    <w:semiHidden/>
    <w:qFormat/>
    <w:locked/>
    <w:uiPriority w:val="99"/>
    <w:rPr>
      <w:rFonts w:ascii="Times New Roman" w:hAnsi="Times New Roman" w:eastAsia="宋体" w:cs="Times New Roman"/>
      <w:sz w:val="18"/>
      <w:szCs w:val="18"/>
    </w:rPr>
  </w:style>
  <w:style w:type="character" w:customStyle="1" w:styleId="11">
    <w:name w:val="页脚 Char"/>
    <w:basedOn w:val="7"/>
    <w:link w:val="4"/>
    <w:semiHidden/>
    <w:qFormat/>
    <w:locked/>
    <w:uiPriority w:val="99"/>
    <w:rPr>
      <w:rFonts w:ascii="Times New Roman" w:hAnsi="Times New Roman" w:eastAsia="宋体" w:cs="Times New Roman"/>
      <w:sz w:val="18"/>
      <w:szCs w:val="18"/>
    </w:rPr>
  </w:style>
  <w:style w:type="paragraph" w:customStyle="1" w:styleId="12">
    <w:name w:val="1"/>
    <w:basedOn w:val="1"/>
    <w:qFormat/>
    <w:uiPriority w:val="99"/>
    <w:rPr>
      <w:szCs w:val="21"/>
    </w:rPr>
  </w:style>
  <w:style w:type="character" w:customStyle="1" w:styleId="13">
    <w:name w:val="apple-converted-space"/>
    <w:basedOn w:val="7"/>
    <w:qFormat/>
    <w:uiPriority w:val="99"/>
    <w:rPr>
      <w:rFonts w:cs="Times New Roman"/>
    </w:rPr>
  </w:style>
  <w:style w:type="character" w:customStyle="1" w:styleId="14">
    <w:name w:val="批注框文本 Char"/>
    <w:basedOn w:val="7"/>
    <w:link w:val="3"/>
    <w:semiHidden/>
    <w:qFormat/>
    <w:locked/>
    <w:uiPriority w:val="99"/>
    <w:rPr>
      <w:rFonts w:ascii="Times New Roman" w:hAnsi="Times New Roman" w:cs="Times New Roman"/>
      <w:sz w:val="2"/>
    </w:rPr>
  </w:style>
  <w:style w:type="paragraph" w:customStyle="1" w:styleId="15">
    <w:name w:val="报告表  段"/>
    <w:basedOn w:val="1"/>
    <w:qFormat/>
    <w:uiPriority w:val="0"/>
    <w:pPr>
      <w:adjustRightInd w:val="0"/>
      <w:spacing w:line="360" w:lineRule="auto"/>
      <w:ind w:firstLine="505"/>
      <w:textAlignment w:val="baseline"/>
    </w:pPr>
    <w:rPr>
      <w:rFonts w:asci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583</Characters>
  <Lines>4</Lines>
  <Paragraphs>1</Paragraphs>
  <TotalTime>0</TotalTime>
  <ScaleCrop>false</ScaleCrop>
  <LinksUpToDate>false</LinksUpToDate>
  <CharactersWithSpaces>684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2017-09-04T06:40:00Z</dcterms:created>
  <dc:creator>user</dc:creator>
  <cp:lastModifiedBy>lenovo-pc</cp:lastModifiedBy>
  <cp:lastPrinted>2019-03-22T04:02:00Z</cp:lastPrinted>
  <dcterms:modified xsi:type="dcterms:W3CDTF">2020-06-17T03:30:02Z</dcterms:modified>
  <dc:title>审批意见: </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