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rPr>
      </w:pPr>
      <w:r>
        <w:rPr>
          <w:rFonts w:hint="eastAsia" w:hAnsi="宋体"/>
          <w:b/>
          <w:sz w:val="30"/>
          <w:szCs w:val="30"/>
        </w:rPr>
        <w:t>审批意见：</w:t>
      </w:r>
    </w:p>
    <w:p>
      <w:pPr>
        <w:spacing w:beforeLines="50" w:line="400" w:lineRule="exact"/>
        <w:ind w:firstLine="562"/>
        <w:jc w:val="right"/>
        <w:rPr>
          <w:rFonts w:ascii="仿宋_GB2312" w:hAnsi="宋体" w:eastAsia="仿宋_GB2312"/>
          <w:b/>
          <w:sz w:val="28"/>
          <w:szCs w:val="28"/>
          <w:u w:val="single"/>
        </w:rPr>
      </w:pPr>
      <w:r>
        <w:rPr>
          <w:rFonts w:hint="eastAsia" w:ascii="仿宋_GB2312" w:hAnsi="宋体" w:eastAsia="仿宋_GB2312"/>
          <w:b/>
          <w:sz w:val="28"/>
          <w:szCs w:val="28"/>
          <w:u w:val="single"/>
        </w:rPr>
        <w:t>汕保环建</w:t>
      </w:r>
      <w:r>
        <w:rPr>
          <w:rFonts w:ascii="仿宋_GB2312" w:hAnsi="宋体" w:eastAsia="仿宋_GB2312"/>
          <w:b/>
          <w:sz w:val="28"/>
          <w:szCs w:val="28"/>
          <w:u w:val="single"/>
        </w:rPr>
        <w:t>[20</w:t>
      </w:r>
      <w:r>
        <w:rPr>
          <w:rFonts w:hint="eastAsia" w:ascii="仿宋_GB2312" w:hAnsi="宋体" w:eastAsia="仿宋_GB2312"/>
          <w:b/>
          <w:sz w:val="28"/>
          <w:szCs w:val="28"/>
          <w:u w:val="single"/>
        </w:rPr>
        <w:t>20</w:t>
      </w:r>
      <w:r>
        <w:rPr>
          <w:rFonts w:ascii="仿宋_GB2312" w:hAnsi="宋体" w:eastAsia="仿宋_GB2312"/>
          <w:b/>
          <w:sz w:val="28"/>
          <w:szCs w:val="28"/>
          <w:u w:val="single"/>
        </w:rPr>
        <w:t>]</w:t>
      </w:r>
      <w:r>
        <w:rPr>
          <w:rFonts w:hint="eastAsia" w:ascii="仿宋_GB2312" w:hAnsi="宋体" w:eastAsia="仿宋_GB2312"/>
          <w:b/>
          <w:sz w:val="28"/>
          <w:szCs w:val="28"/>
          <w:u w:val="single"/>
        </w:rPr>
        <w:t>02号</w:t>
      </w:r>
    </w:p>
    <w:p>
      <w:pPr>
        <w:adjustRightInd w:val="0"/>
        <w:spacing w:line="420" w:lineRule="exact"/>
        <w:ind w:firstLine="480"/>
        <w:rPr>
          <w:rFonts w:ascii="仿宋" w:hAnsi="仿宋" w:eastAsia="仿宋" w:cs="仿宋"/>
          <w:color w:val="000000"/>
          <w:kern w:val="0"/>
          <w:sz w:val="24"/>
        </w:rPr>
      </w:pP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广东西电动力科技股份有限公司研发中心建设项目位于汕头保税区E07-2地块，</w:t>
      </w:r>
      <w:r>
        <w:rPr>
          <w:rFonts w:ascii="仿宋" w:hAnsi="仿宋" w:eastAsia="仿宋" w:cs="仿宋"/>
          <w:color w:val="000000"/>
          <w:kern w:val="0"/>
          <w:sz w:val="24"/>
        </w:rPr>
        <w:t>总建筑面积8476m2</w:t>
      </w:r>
      <w:r>
        <w:rPr>
          <w:rFonts w:hint="eastAsia" w:ascii="仿宋" w:hAnsi="仿宋" w:eastAsia="仿宋" w:cs="仿宋"/>
          <w:color w:val="000000"/>
          <w:kern w:val="0"/>
          <w:sz w:val="24"/>
        </w:rPr>
        <w:t>，拟投资6418.04万元，建设一座6层研发中心，主要从事燃气冷热电三联供系统的燃气发电机组、分布式能源电子控制系统并网技术、环保型大功率高压柴油发电机组减振和降噪技术、建筑物雨水流通管道专用水泵及水泵发电机组、发电机组低温余热回收利用技术、核安全（1E 级）应急柴油发电机组、军用发电机组等研设备开发设计，设备测试等。项目不设食堂和宿舍。原则同意该项目建设。</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施工期间：场址四周应设置噪声隔离墙，选用低噪声的施工机械，从源头上减少噪声的产生，以减少对周围的环境影响。物料堆场周围设置挡风板或密目防尘网以防产生扬尘；运输车辆在运输过程中应慢速行驶且严禁超载，对装载物进行遮盖，避免撒漏或被风吹散，以减少扬尘对周围的环境影响。</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项目营运期间：废水主要为员工生活污水，须经三级化粪池预处理后排入保税区市政污水管网再汇入汕头市南区污水处理厂濠江分厂集中处理。</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项目运营期无大气污染物产生。</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项目须对生产设备及机械通排风设施采取减震、隔声等措施，确保噪声达标排放。</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项目生活垃圾及污泥应统一收集后交环卫部门处理，日产日清。</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应建立健全环保管理制度，强化各项环保管理人员综合能力。</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项目污染物排放总量指标控制为：</w:t>
      </w:r>
      <w:r>
        <w:rPr>
          <w:rFonts w:hint="eastAsia" w:ascii="仿宋" w:hAnsi="仿宋" w:eastAsia="仿宋" w:cs="仿宋"/>
          <w:color w:val="000000"/>
          <w:kern w:val="0"/>
          <w:sz w:val="24"/>
          <w:szCs w:val="24"/>
        </w:rPr>
        <w:t>各项水污染物排放指标纳入汕头市南区污水处理厂濠江分厂统一管理</w:t>
      </w:r>
      <w:bookmarkStart w:id="0" w:name="_GoBack"/>
      <w:bookmarkEnd w:id="0"/>
      <w:r>
        <w:rPr>
          <w:rFonts w:hint="eastAsia" w:ascii="仿宋" w:hAnsi="仿宋" w:eastAsia="仿宋" w:cs="仿宋"/>
          <w:color w:val="000000"/>
          <w:kern w:val="0"/>
          <w:sz w:val="24"/>
        </w:rPr>
        <w:t>。</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批复未尽事项，按该项目《环境影响报告表》执行。</w:t>
      </w:r>
    </w:p>
    <w:p>
      <w:pPr>
        <w:adjustRightInd w:val="0"/>
        <w:spacing w:line="420" w:lineRule="exact"/>
        <w:ind w:firstLine="480"/>
        <w:rPr>
          <w:rFonts w:ascii="仿宋" w:hAnsi="仿宋" w:eastAsia="仿宋" w:cs="仿宋"/>
          <w:color w:val="000000"/>
          <w:kern w:val="0"/>
          <w:sz w:val="24"/>
        </w:rPr>
      </w:pPr>
    </w:p>
    <w:p>
      <w:pPr>
        <w:adjustRightInd w:val="0"/>
        <w:spacing w:line="420" w:lineRule="exact"/>
        <w:ind w:firstLine="480"/>
        <w:rPr>
          <w:rFonts w:ascii="仿宋" w:hAnsi="仿宋" w:eastAsia="仿宋" w:cs="仿宋"/>
          <w:b/>
          <w:color w:val="000000"/>
          <w:kern w:val="0"/>
          <w:sz w:val="24"/>
        </w:rPr>
      </w:pPr>
      <w:r>
        <w:rPr>
          <w:rFonts w:hint="eastAsia" w:ascii="仿宋" w:hAnsi="仿宋" w:eastAsia="仿宋" w:cs="仿宋"/>
          <w:b/>
          <w:color w:val="000000"/>
          <w:kern w:val="0"/>
          <w:sz w:val="24"/>
        </w:rPr>
        <w:t>该项目执行标准：</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一、废水排放执行《水污染排放限值》（DB44/26--2001）第二时段三级标准。</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二、噪声排放执行《工业企业厂界环境噪声排放标准》（GB12348-2008）3类标准。</w:t>
      </w:r>
    </w:p>
    <w:p>
      <w:pPr>
        <w:adjustRightInd w:val="0"/>
        <w:spacing w:line="420" w:lineRule="exact"/>
        <w:ind w:firstLine="480"/>
        <w:rPr>
          <w:rFonts w:ascii="仿宋" w:hAnsi="仿宋" w:eastAsia="仿宋" w:cs="仿宋"/>
          <w:color w:val="000000"/>
          <w:kern w:val="0"/>
          <w:sz w:val="24"/>
        </w:rPr>
      </w:pPr>
      <w:r>
        <w:rPr>
          <w:rFonts w:hint="eastAsia" w:ascii="仿宋" w:hAnsi="仿宋" w:eastAsia="仿宋" w:cs="仿宋"/>
          <w:color w:val="000000"/>
          <w:kern w:val="0"/>
          <w:sz w:val="24"/>
        </w:rPr>
        <w:t>三、施工场地边界噪声执行《建筑施工场界噪声限值》（GB12523--2011）标准。</w:t>
      </w:r>
    </w:p>
    <w:p>
      <w:pPr>
        <w:adjustRightInd w:val="0"/>
        <w:spacing w:line="420" w:lineRule="exact"/>
        <w:ind w:firstLine="480"/>
        <w:rPr>
          <w:rFonts w:ascii="仿宋" w:hAnsi="仿宋" w:eastAsia="仿宋" w:cs="仿宋"/>
          <w:color w:val="000000"/>
          <w:kern w:val="0"/>
          <w:sz w:val="24"/>
        </w:rPr>
      </w:pPr>
    </w:p>
    <w:sectPr>
      <w:footerReference r:id="rId3" w:type="default"/>
      <w:pgSz w:w="11906" w:h="16838"/>
      <w:pgMar w:top="1327" w:right="1463" w:bottom="1327" w:left="146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46D"/>
    <w:rsid w:val="00002B4E"/>
    <w:rsid w:val="0001393C"/>
    <w:rsid w:val="000724FC"/>
    <w:rsid w:val="000803B2"/>
    <w:rsid w:val="001000F3"/>
    <w:rsid w:val="00106784"/>
    <w:rsid w:val="001115CE"/>
    <w:rsid w:val="00113E71"/>
    <w:rsid w:val="001209AE"/>
    <w:rsid w:val="001324D8"/>
    <w:rsid w:val="001415C8"/>
    <w:rsid w:val="001427DA"/>
    <w:rsid w:val="001440B5"/>
    <w:rsid w:val="0014609D"/>
    <w:rsid w:val="00177B41"/>
    <w:rsid w:val="00180AA3"/>
    <w:rsid w:val="001817E5"/>
    <w:rsid w:val="0018406A"/>
    <w:rsid w:val="001959F2"/>
    <w:rsid w:val="001C3F96"/>
    <w:rsid w:val="001C4305"/>
    <w:rsid w:val="001D08D2"/>
    <w:rsid w:val="001E5C39"/>
    <w:rsid w:val="00257B24"/>
    <w:rsid w:val="00285A53"/>
    <w:rsid w:val="00293139"/>
    <w:rsid w:val="00297E83"/>
    <w:rsid w:val="002A0C93"/>
    <w:rsid w:val="002C41BE"/>
    <w:rsid w:val="0030558E"/>
    <w:rsid w:val="003070E8"/>
    <w:rsid w:val="00370CB9"/>
    <w:rsid w:val="003848DB"/>
    <w:rsid w:val="003935CA"/>
    <w:rsid w:val="003A31A1"/>
    <w:rsid w:val="003F4D2C"/>
    <w:rsid w:val="00405999"/>
    <w:rsid w:val="00416418"/>
    <w:rsid w:val="0042318B"/>
    <w:rsid w:val="004268E2"/>
    <w:rsid w:val="00427F5A"/>
    <w:rsid w:val="00431577"/>
    <w:rsid w:val="00457F61"/>
    <w:rsid w:val="00460F25"/>
    <w:rsid w:val="004765D1"/>
    <w:rsid w:val="00483826"/>
    <w:rsid w:val="004960F3"/>
    <w:rsid w:val="004B562F"/>
    <w:rsid w:val="004C57A0"/>
    <w:rsid w:val="004F6EC0"/>
    <w:rsid w:val="00500A75"/>
    <w:rsid w:val="00501F14"/>
    <w:rsid w:val="00516C35"/>
    <w:rsid w:val="00533F29"/>
    <w:rsid w:val="00562C48"/>
    <w:rsid w:val="0056575D"/>
    <w:rsid w:val="005A77F2"/>
    <w:rsid w:val="005B19A9"/>
    <w:rsid w:val="005C5F5B"/>
    <w:rsid w:val="005E64D6"/>
    <w:rsid w:val="005F646D"/>
    <w:rsid w:val="00621E5D"/>
    <w:rsid w:val="007045F7"/>
    <w:rsid w:val="00734FC3"/>
    <w:rsid w:val="00763EA0"/>
    <w:rsid w:val="00785211"/>
    <w:rsid w:val="007A201F"/>
    <w:rsid w:val="007F10E3"/>
    <w:rsid w:val="00811C80"/>
    <w:rsid w:val="00821C82"/>
    <w:rsid w:val="008538E3"/>
    <w:rsid w:val="008733D9"/>
    <w:rsid w:val="00886621"/>
    <w:rsid w:val="008B43C8"/>
    <w:rsid w:val="008C31C3"/>
    <w:rsid w:val="008E350B"/>
    <w:rsid w:val="0092491A"/>
    <w:rsid w:val="009421A6"/>
    <w:rsid w:val="009628CE"/>
    <w:rsid w:val="00965009"/>
    <w:rsid w:val="00991F32"/>
    <w:rsid w:val="00997336"/>
    <w:rsid w:val="009A3763"/>
    <w:rsid w:val="009D6004"/>
    <w:rsid w:val="009F6B30"/>
    <w:rsid w:val="00A1587D"/>
    <w:rsid w:val="00A16D16"/>
    <w:rsid w:val="00A327FB"/>
    <w:rsid w:val="00A42E9D"/>
    <w:rsid w:val="00A75F11"/>
    <w:rsid w:val="00A9212D"/>
    <w:rsid w:val="00AA4D74"/>
    <w:rsid w:val="00AB3F0D"/>
    <w:rsid w:val="00AC3EB6"/>
    <w:rsid w:val="00AD72AB"/>
    <w:rsid w:val="00B30040"/>
    <w:rsid w:val="00B34100"/>
    <w:rsid w:val="00B550D3"/>
    <w:rsid w:val="00B73832"/>
    <w:rsid w:val="00B8508D"/>
    <w:rsid w:val="00B97F12"/>
    <w:rsid w:val="00BA6A83"/>
    <w:rsid w:val="00BC1313"/>
    <w:rsid w:val="00BC6A80"/>
    <w:rsid w:val="00BD5E5E"/>
    <w:rsid w:val="00C92A82"/>
    <w:rsid w:val="00CA2D00"/>
    <w:rsid w:val="00CF4581"/>
    <w:rsid w:val="00D373A0"/>
    <w:rsid w:val="00D912E2"/>
    <w:rsid w:val="00DD2C05"/>
    <w:rsid w:val="00DF2E0F"/>
    <w:rsid w:val="00E064A4"/>
    <w:rsid w:val="00E21CD7"/>
    <w:rsid w:val="00E34087"/>
    <w:rsid w:val="00E434ED"/>
    <w:rsid w:val="00E537DA"/>
    <w:rsid w:val="00E734EB"/>
    <w:rsid w:val="00E83768"/>
    <w:rsid w:val="00EA026D"/>
    <w:rsid w:val="00EC58DB"/>
    <w:rsid w:val="00EC726D"/>
    <w:rsid w:val="00F13D4C"/>
    <w:rsid w:val="00F41BAF"/>
    <w:rsid w:val="00F555C2"/>
    <w:rsid w:val="00F63AC4"/>
    <w:rsid w:val="00FB27ED"/>
    <w:rsid w:val="00FD222E"/>
    <w:rsid w:val="043A4999"/>
    <w:rsid w:val="04EE7B2A"/>
    <w:rsid w:val="1AB46B8D"/>
    <w:rsid w:val="1FD85F66"/>
    <w:rsid w:val="25197B8B"/>
    <w:rsid w:val="2CCF2D13"/>
    <w:rsid w:val="316350E8"/>
    <w:rsid w:val="328D07C5"/>
    <w:rsid w:val="32F3432B"/>
    <w:rsid w:val="34F479C9"/>
    <w:rsid w:val="42D62F3E"/>
    <w:rsid w:val="4567024E"/>
    <w:rsid w:val="4F783606"/>
    <w:rsid w:val="56094D12"/>
    <w:rsid w:val="57101EAA"/>
    <w:rsid w:val="57FA797C"/>
    <w:rsid w:val="5AAE2712"/>
    <w:rsid w:val="5B472603"/>
    <w:rsid w:val="5DBD7CF7"/>
    <w:rsid w:val="64932D5D"/>
    <w:rsid w:val="6B874A30"/>
    <w:rsid w:val="704233D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3"/>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页眉 Char"/>
    <w:basedOn w:val="7"/>
    <w:link w:val="5"/>
    <w:semiHidden/>
    <w:qFormat/>
    <w:locked/>
    <w:uiPriority w:val="99"/>
    <w:rPr>
      <w:rFonts w:ascii="Times New Roman" w:hAnsi="Times New Roman" w:eastAsia="宋体" w:cs="Times New Roman"/>
      <w:sz w:val="18"/>
      <w:szCs w:val="18"/>
    </w:rPr>
  </w:style>
  <w:style w:type="character" w:customStyle="1" w:styleId="10">
    <w:name w:val="页脚 Char"/>
    <w:basedOn w:val="7"/>
    <w:link w:val="4"/>
    <w:semiHidden/>
    <w:qFormat/>
    <w:locked/>
    <w:uiPriority w:val="99"/>
    <w:rPr>
      <w:rFonts w:ascii="Times New Roman" w:hAnsi="Times New Roman" w:eastAsia="宋体" w:cs="Times New Roman"/>
      <w:sz w:val="18"/>
      <w:szCs w:val="18"/>
    </w:rPr>
  </w:style>
  <w:style w:type="paragraph" w:customStyle="1" w:styleId="11">
    <w:name w:val="1"/>
    <w:basedOn w:val="1"/>
    <w:qFormat/>
    <w:uiPriority w:val="99"/>
    <w:rPr>
      <w:szCs w:val="21"/>
    </w:rPr>
  </w:style>
  <w:style w:type="character" w:customStyle="1" w:styleId="12">
    <w:name w:val="apple-converted-space"/>
    <w:basedOn w:val="7"/>
    <w:qFormat/>
    <w:uiPriority w:val="99"/>
    <w:rPr>
      <w:rFonts w:cs="Times New Roman"/>
    </w:rPr>
  </w:style>
  <w:style w:type="character" w:customStyle="1" w:styleId="13">
    <w:name w:val="批注框文本 Char"/>
    <w:basedOn w:val="7"/>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629</Characters>
  <Lines>5</Lines>
  <Paragraphs>1</Paragraphs>
  <TotalTime>0</TotalTime>
  <ScaleCrop>false</ScaleCrop>
  <LinksUpToDate>false</LinksUpToDate>
  <CharactersWithSpaces>738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2017-09-04T06:40:00Z</dcterms:created>
  <dc:creator>user</dc:creator>
  <cp:lastModifiedBy>lenovo-pc</cp:lastModifiedBy>
  <cp:lastPrinted>2019-03-22T04:02:00Z</cp:lastPrinted>
  <dcterms:modified xsi:type="dcterms:W3CDTF">2020-06-17T03:30:14Z</dcterms:modified>
  <dc:title>审批意见: </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