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eastAsia="黑体"/>
        </w:rPr>
      </w:pPr>
      <w:r>
        <w:rPr>
          <w:rFonts w:hint="eastAsia" w:ascii="Times New Roman" w:eastAsia="黑体"/>
        </w:rPr>
        <w:t>附件2-</w:t>
      </w:r>
      <w:r>
        <w:rPr>
          <w:rFonts w:hint="eastAsia" w:ascii="Times New Roman" w:eastAsia="黑体"/>
          <w:lang w:val="en-US" w:eastAsia="zh-CN"/>
        </w:rPr>
        <w:t>2</w:t>
      </w:r>
    </w:p>
    <w:p>
      <w:pPr>
        <w:widowControl w:val="0"/>
        <w:spacing w:after="120" w:line="560" w:lineRule="exact"/>
        <w:jc w:val="both"/>
        <w:rPr>
          <w:rFonts w:ascii="Times New Roman" w:hAnsi="Times New Roman" w:eastAsia="仿宋_GB2312" w:cs="黑体"/>
          <w:kern w:val="2"/>
          <w:sz w:val="32"/>
          <w:szCs w:val="32"/>
          <w:lang w:val="en-US" w:eastAsia="zh-CN" w:bidi="ar-SA"/>
        </w:rPr>
      </w:pPr>
    </w:p>
    <w:p>
      <w:pPr>
        <w:spacing w:line="560" w:lineRule="exact"/>
        <w:jc w:val="center"/>
        <w:rPr>
          <w:rFonts w:ascii="Times New Roman" w:eastAsia="方正小标宋简体"/>
          <w:sz w:val="44"/>
          <w:szCs w:val="44"/>
        </w:rPr>
      </w:pPr>
      <w:r>
        <w:rPr>
          <w:rFonts w:hint="eastAsia" w:ascii="Times New Roman" w:eastAsia="方正小标宋简体"/>
          <w:sz w:val="44"/>
          <w:szCs w:val="44"/>
          <w:lang w:eastAsia="zh-CN"/>
        </w:rPr>
        <w:t>汕头市市</w:t>
      </w:r>
      <w:r>
        <w:rPr>
          <w:rFonts w:hint="eastAsia" w:ascii="Times New Roman" w:eastAsia="方正小标宋简体"/>
          <w:sz w:val="44"/>
          <w:szCs w:val="44"/>
        </w:rPr>
        <w:t>级企业技术中心评价指标体系</w:t>
      </w:r>
    </w:p>
    <w:p>
      <w:pPr>
        <w:widowControl w:val="0"/>
        <w:spacing w:after="120" w:line="560" w:lineRule="exact"/>
        <w:jc w:val="both"/>
        <w:rPr>
          <w:rFonts w:ascii="Times New Roman" w:hAnsi="Times New Roman" w:eastAsia="仿宋_GB2312" w:cs="黑体"/>
          <w:kern w:val="2"/>
          <w:sz w:val="32"/>
          <w:szCs w:val="32"/>
          <w:lang w:val="en-US" w:eastAsia="zh-CN" w:bidi="ar-SA"/>
        </w:rPr>
      </w:pPr>
    </w:p>
    <w:p>
      <w:pPr>
        <w:pStyle w:val="16"/>
        <w:tabs>
          <w:tab w:val="left" w:pos="900"/>
        </w:tabs>
        <w:spacing w:before="0" w:after="0" w:line="560" w:lineRule="exact"/>
        <w:ind w:firstLine="640" w:firstLineChars="200"/>
        <w:rPr>
          <w:rFonts w:hint="eastAsia" w:ascii="Times New Roman" w:eastAsia="黑体"/>
          <w:color w:val="auto"/>
          <w:sz w:val="32"/>
          <w:szCs w:val="32"/>
        </w:rPr>
      </w:pPr>
      <w:r>
        <w:rPr>
          <w:rFonts w:hint="eastAsia" w:ascii="Times New Roman" w:eastAsia="黑体"/>
          <w:color w:val="auto"/>
          <w:sz w:val="32"/>
          <w:szCs w:val="32"/>
        </w:rPr>
        <w:t>一、制造业及其他行业评价指标体系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82"/>
        <w:gridCol w:w="976"/>
        <w:gridCol w:w="5279"/>
        <w:gridCol w:w="449"/>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一级指标</w:t>
            </w:r>
          </w:p>
        </w:tc>
        <w:tc>
          <w:tcPr>
            <w:tcW w:w="68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二级指标</w:t>
            </w:r>
          </w:p>
        </w:tc>
        <w:tc>
          <w:tcPr>
            <w:tcW w:w="97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权重</w:t>
            </w:r>
          </w:p>
        </w:tc>
        <w:tc>
          <w:tcPr>
            <w:tcW w:w="527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三级指标</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单位</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创新投入</w:t>
            </w: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经费投入</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研究与试验发展经费支出额占主营业务收入的比重</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专职研究与试验发展人员的人均研究与试验发展经费支出额</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万元</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人才投入</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专职研究与试验发展人员占企业职工总数的比重</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企业技术中心高层次研发人员数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企业技术中心从事技术开发工作的外部专家数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人月</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81" w:type="dxa"/>
            <w:vMerge w:val="continue"/>
            <w:noWrap w:val="0"/>
            <w:vAlign w:val="center"/>
          </w:tcPr>
          <w:p>
            <w:pPr>
              <w:keepNext w:val="0"/>
              <w:keepLines w:val="0"/>
              <w:widowControl/>
              <w:suppressLineNumbers w:val="0"/>
              <w:spacing w:line="240" w:lineRule="auto"/>
              <w:jc w:val="center"/>
              <w:textAlignment w:val="center"/>
            </w:pPr>
          </w:p>
        </w:tc>
        <w:tc>
          <w:tcPr>
            <w:tcW w:w="682" w:type="dxa"/>
            <w:vMerge w:val="continue"/>
            <w:noWrap w:val="0"/>
            <w:vAlign w:val="center"/>
          </w:tcPr>
          <w:p>
            <w:pPr>
              <w:keepNext w:val="0"/>
              <w:keepLines w:val="0"/>
              <w:widowControl/>
              <w:suppressLineNumbers w:val="0"/>
              <w:spacing w:line="240" w:lineRule="auto"/>
              <w:jc w:val="center"/>
              <w:textAlignment w:val="center"/>
            </w:pPr>
          </w:p>
        </w:tc>
        <w:tc>
          <w:tcPr>
            <w:tcW w:w="976" w:type="dxa"/>
            <w:vMerge w:val="continue"/>
            <w:noWrap w:val="0"/>
            <w:vAlign w:val="center"/>
          </w:tcPr>
          <w:p>
            <w:pPr>
              <w:keepNext w:val="0"/>
              <w:keepLines w:val="0"/>
              <w:widowControl/>
              <w:suppressLineNumbers w:val="0"/>
              <w:spacing w:line="240" w:lineRule="auto"/>
              <w:jc w:val="center"/>
              <w:textAlignment w:val="center"/>
            </w:pPr>
          </w:p>
        </w:tc>
        <w:tc>
          <w:tcPr>
            <w:tcW w:w="5279" w:type="dxa"/>
            <w:noWrap w:val="0"/>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企业拥有和推荐入选国家、省、市级人才计划人员数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w:t>
            </w:r>
          </w:p>
        </w:tc>
        <w:tc>
          <w:tcPr>
            <w:tcW w:w="449" w:type="dxa"/>
            <w:noWrap w:val="0"/>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创新条件</w:t>
            </w: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技术积累</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24</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企业报告年度技术研发项目数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企业拥有的全部有效知识产权数（不含发明专利）</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企业拥有的全部有效发明专利数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创新平台</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企业技术开发仪器设备原值及研发用软件购置费</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万元</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国家级研发平台数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省级研发平台数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创新绩效</w:t>
            </w: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技术产出</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企业报告年度被受理的知识产权申请数（不含发明专利）</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p>
        </w:tc>
        <w:tc>
          <w:tcPr>
            <w:tcW w:w="682" w:type="dxa"/>
            <w:vMerge w:val="continue"/>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p>
        </w:tc>
        <w:tc>
          <w:tcPr>
            <w:tcW w:w="976" w:type="dxa"/>
            <w:vMerge w:val="continue"/>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p>
        </w:tc>
        <w:tc>
          <w:tcPr>
            <w:tcW w:w="5279" w:type="dxa"/>
            <w:noWrap w:val="0"/>
            <w:vAlign w:val="center"/>
          </w:tcPr>
          <w:p>
            <w:pPr>
              <w:keepNext w:val="0"/>
              <w:keepLines w:val="0"/>
              <w:widowControl/>
              <w:suppressLineNumbers w:val="0"/>
              <w:spacing w:line="240" w:lineRule="auto"/>
              <w:ind w:left="0" w:leftChars="0" w:right="0" w:rightChars="0"/>
              <w:jc w:val="left"/>
              <w:textAlignment w:val="center"/>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kern w:val="0"/>
                <w:sz w:val="21"/>
                <w:szCs w:val="21"/>
                <w:u w:val="none"/>
                <w:lang w:val="en-US" w:eastAsia="zh-CN" w:bidi="ar"/>
              </w:rPr>
              <w:t>企业报告年度被受理的发明专利申请数</w:t>
            </w:r>
          </w:p>
        </w:tc>
        <w:tc>
          <w:tcPr>
            <w:tcW w:w="449" w:type="dxa"/>
            <w:noWrap w:val="0"/>
            <w:vAlign w:val="center"/>
          </w:tcPr>
          <w:p>
            <w:pPr>
              <w:keepNext w:val="0"/>
              <w:keepLines w:val="0"/>
              <w:widowControl/>
              <w:suppressLineNumbers w:val="0"/>
              <w:spacing w:line="240" w:lineRule="auto"/>
              <w:ind w:left="0" w:leftChars="0" w:right="0" w:rightChars="0"/>
              <w:jc w:val="center"/>
              <w:textAlignment w:val="center"/>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kern w:val="0"/>
                <w:sz w:val="21"/>
                <w:szCs w:val="21"/>
                <w:u w:val="none"/>
                <w:lang w:val="en-US" w:eastAsia="zh-CN" w:bidi="ar"/>
              </w:rPr>
              <w:t>件</w:t>
            </w:r>
          </w:p>
        </w:tc>
        <w:tc>
          <w:tcPr>
            <w:tcW w:w="449" w:type="dxa"/>
            <w:noWrap w:val="0"/>
            <w:vAlign w:val="center"/>
          </w:tcPr>
          <w:p>
            <w:pPr>
              <w:keepNext w:val="0"/>
              <w:keepLines w:val="0"/>
              <w:widowControl/>
              <w:suppressLineNumbers w:val="0"/>
              <w:spacing w:line="240" w:lineRule="auto"/>
              <w:ind w:left="0" w:leftChars="0" w:right="0" w:rightChars="0"/>
              <w:jc w:val="center"/>
              <w:textAlignment w:val="center"/>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ind w:left="0" w:leftChars="0" w:right="0" w:rightChars="0"/>
              <w:jc w:val="left"/>
              <w:textAlignment w:val="center"/>
              <w:rPr>
                <w:rFonts w:hint="eastAsia" w:ascii="仿宋" w:hAnsi="仿宋" w:eastAsia="仿宋" w:cs="仿宋"/>
                <w:i w:val="0"/>
                <w:iCs w:val="0"/>
                <w:color w:val="auto"/>
                <w:sz w:val="21"/>
                <w:szCs w:val="21"/>
                <w:u w:val="none"/>
                <w:lang w:val="zh-CN" w:eastAsia="zh-CN" w:bidi="zh-CN"/>
              </w:rPr>
            </w:pPr>
            <w:r>
              <w:rPr>
                <w:rFonts w:hint="eastAsia" w:ascii="仿宋" w:hAnsi="仿宋" w:eastAsia="仿宋" w:cs="仿宋"/>
                <w:i w:val="0"/>
                <w:iCs w:val="0"/>
                <w:color w:val="auto"/>
                <w:kern w:val="0"/>
                <w:sz w:val="21"/>
                <w:szCs w:val="21"/>
                <w:u w:val="none"/>
                <w:lang w:val="en-US" w:eastAsia="zh-CN" w:bidi="ar"/>
              </w:rPr>
              <w:t>近三年企业主持和参加制定的国际、国家、行业、地方、团体标准数</w:t>
            </w:r>
          </w:p>
        </w:tc>
        <w:tc>
          <w:tcPr>
            <w:tcW w:w="449" w:type="dxa"/>
            <w:noWrap w:val="0"/>
            <w:vAlign w:val="center"/>
          </w:tcPr>
          <w:p>
            <w:pPr>
              <w:keepNext w:val="0"/>
              <w:keepLines w:val="0"/>
              <w:widowControl/>
              <w:suppressLineNumbers w:val="0"/>
              <w:spacing w:line="240" w:lineRule="auto"/>
              <w:ind w:left="0" w:leftChars="0" w:right="0" w:rightChars="0"/>
              <w:jc w:val="center"/>
              <w:textAlignment w:val="center"/>
              <w:rPr>
                <w:rFonts w:hint="eastAsia" w:ascii="仿宋" w:hAnsi="仿宋" w:eastAsia="仿宋" w:cs="仿宋"/>
                <w:i w:val="0"/>
                <w:iCs w:val="0"/>
                <w:color w:val="auto"/>
                <w:sz w:val="21"/>
                <w:szCs w:val="21"/>
                <w:u w:val="none"/>
                <w:lang w:val="zh-CN" w:eastAsia="zh-CN" w:bidi="zh-CN"/>
              </w:rPr>
            </w:pPr>
            <w:r>
              <w:rPr>
                <w:rFonts w:hint="eastAsia" w:ascii="仿宋" w:hAnsi="仿宋" w:eastAsia="仿宋" w:cs="仿宋"/>
                <w:i w:val="0"/>
                <w:iCs w:val="0"/>
                <w:color w:val="auto"/>
                <w:kern w:val="0"/>
                <w:sz w:val="21"/>
                <w:szCs w:val="21"/>
                <w:u w:val="none"/>
                <w:lang w:val="en-US" w:eastAsia="zh-CN" w:bidi="ar"/>
              </w:rPr>
              <w:t>项</w:t>
            </w:r>
          </w:p>
        </w:tc>
        <w:tc>
          <w:tcPr>
            <w:tcW w:w="449" w:type="dxa"/>
            <w:noWrap w:val="0"/>
            <w:vAlign w:val="center"/>
          </w:tcPr>
          <w:p>
            <w:pPr>
              <w:keepNext w:val="0"/>
              <w:keepLines w:val="0"/>
              <w:widowControl/>
              <w:suppressLineNumbers w:val="0"/>
              <w:spacing w:line="240" w:lineRule="auto"/>
              <w:ind w:left="0" w:leftChars="0" w:right="0" w:rightChars="0"/>
              <w:jc w:val="center"/>
              <w:textAlignment w:val="center"/>
              <w:rPr>
                <w:rFonts w:hint="eastAsia" w:ascii="仿宋" w:hAnsi="仿宋" w:eastAsia="仿宋" w:cs="仿宋"/>
                <w:i w:val="0"/>
                <w:iCs w:val="0"/>
                <w:color w:val="auto"/>
                <w:sz w:val="21"/>
                <w:szCs w:val="21"/>
                <w:u w:val="none"/>
                <w:lang w:val="zh-CN" w:eastAsia="zh-CN" w:bidi="zh-CN"/>
              </w:rPr>
            </w:pPr>
            <w:r>
              <w:rPr>
                <w:rFonts w:hint="eastAsia" w:ascii="仿宋" w:hAnsi="仿宋" w:eastAsia="仿宋" w:cs="仿宋"/>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创新效益</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16</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新产品销售收入占主营业务收入的比重</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Style w:val="17"/>
                <w:rFonts w:hint="eastAsia" w:ascii="仿宋" w:hAnsi="仿宋" w:eastAsia="仿宋" w:cs="仿宋"/>
                <w:color w:val="auto"/>
                <w:sz w:val="21"/>
                <w:szCs w:val="21"/>
                <w:lang w:val="en-US" w:eastAsia="zh-CN" w:bidi="ar"/>
              </w:rPr>
              <w:t>新产品销售利润</w:t>
            </w:r>
            <w:r>
              <w:rPr>
                <w:rStyle w:val="18"/>
                <w:rFonts w:hint="eastAsia" w:ascii="仿宋" w:hAnsi="仿宋" w:eastAsia="仿宋" w:cs="仿宋"/>
                <w:color w:val="auto"/>
                <w:sz w:val="21"/>
                <w:szCs w:val="21"/>
                <w:lang w:val="en-US" w:eastAsia="zh-CN" w:bidi="ar"/>
              </w:rPr>
              <w:t>占利润总额的比重</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主营业务收入利润率</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年纳税总额</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万元</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创新激励</w:t>
            </w:r>
          </w:p>
        </w:tc>
        <w:tc>
          <w:tcPr>
            <w:tcW w:w="682"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加分</w:t>
            </w:r>
          </w:p>
        </w:tc>
        <w:tc>
          <w:tcPr>
            <w:tcW w:w="976" w:type="dxa"/>
            <w:vMerge w:val="restart"/>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近三年获国家及广东省自然科学、技术发明、科技进步奖项目数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获评为国家制造业单项冠军企业、专精特新“小巨人”企</w:t>
            </w:r>
            <w:r>
              <w:rPr>
                <w:rStyle w:val="19"/>
                <w:rFonts w:hint="eastAsia" w:ascii="仿宋" w:hAnsi="仿宋" w:eastAsia="仿宋" w:cs="仿宋"/>
                <w:color w:val="auto"/>
                <w:sz w:val="21"/>
                <w:szCs w:val="21"/>
                <w:lang w:val="en-US" w:eastAsia="zh-CN" w:bidi="ar"/>
              </w:rPr>
              <w:t>业数及广东省制造业单项冠军企业、专精特新企业数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76"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近三年牵头和参与的国家、省级的示范项目数</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Merge w:val="continue"/>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682"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扣分</w:t>
            </w:r>
          </w:p>
        </w:tc>
        <w:tc>
          <w:tcPr>
            <w:tcW w:w="976"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5279"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企业经营亏损</w:t>
            </w:r>
          </w:p>
        </w:tc>
        <w:tc>
          <w:tcPr>
            <w:tcW w:w="449" w:type="dxa"/>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449"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bl>
    <w:p>
      <w:pPr>
        <w:pStyle w:val="16"/>
        <w:tabs>
          <w:tab w:val="left" w:pos="900"/>
        </w:tabs>
        <w:spacing w:before="0" w:after="0" w:line="560" w:lineRule="exact"/>
        <w:ind w:firstLine="640" w:firstLineChars="200"/>
        <w:rPr>
          <w:rFonts w:hint="eastAsia" w:ascii="Times New Roman" w:eastAsia="黑体"/>
          <w:color w:val="auto"/>
          <w:sz w:val="32"/>
          <w:szCs w:val="32"/>
        </w:rPr>
      </w:pPr>
      <w:r>
        <w:rPr>
          <w:rFonts w:hint="eastAsia" w:ascii="Times New Roman" w:eastAsia="黑体"/>
          <w:color w:val="auto"/>
          <w:sz w:val="32"/>
          <w:szCs w:val="32"/>
        </w:rPr>
        <w:t>二、建筑业评价指标体系</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738"/>
        <w:gridCol w:w="962"/>
        <w:gridCol w:w="5275"/>
        <w:gridCol w:w="438"/>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一级指标</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二级指标</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权重</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三级指标</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单位</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创新投入</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经费投入</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研究与试验发展经费支出额占工程结算收入的比重</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专职研究与试验发展人员的人均研究与试验发展经费支出额</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万元</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人才投入</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专职研究与试验发展人员占企业职工总数的比重</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企业技术中心高层次研发人员数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企业具有的一级注册建设类执业资格人数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3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pPr>
          </w:p>
        </w:tc>
        <w:tc>
          <w:tcPr>
            <w:tcW w:w="73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pPr>
          </w:p>
        </w:tc>
        <w:tc>
          <w:tcPr>
            <w:tcW w:w="96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企业拥有和推荐入选国家、省、市级人才计划人员数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创新条件</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技术积累</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企业报告年度技术研发项目数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近五年获得国家级新工法数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近五年获得省级新工法数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企业拥有的全部有效知识产权数（不含发明专利）</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企业拥有的全部有效发明专利数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技术条件</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5275" w:type="dxa"/>
            <w:tcBorders>
              <w:top w:val="nil"/>
              <w:left w:val="nil"/>
              <w:bottom w:val="nil"/>
              <w:right w:val="nil"/>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企业技术开发仪器设备原值及研发用软件购置费</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万元</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国家级研发平台数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省级研发平台数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创新绩效</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技术产出</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企业报告年度被受理的知识产权申请数（不含发明专利）</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企业报告年度被受理的发明专利申请数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件</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近五年企业主持和参加制定的国际、国家、行业、地方、团体标准数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创新效益</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开发研究建筑业新项目销售收入占工程结算收入总额的比重</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开发研究建筑业新项目销售利润占利润总额的比重</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近五年获得国家建筑行业奖（鲁班奖、詹天佑奖、国家优质工程奖）项目数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近五年获得广东省建筑行业奖（省建设工程金匠奖）项目数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近五年获得国家级、省级建筑业新技术示范工程数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工程结算收入利润率</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年纳税总额</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万元</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创新激励</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加分</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近三年获国家自然科学、技术发明、科技进步奖项目数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近三年获广东省自然科学、技术发明、科技进步奖项目数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拥有博士后科研工作站、院士专家工作站数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i w:val="0"/>
                <w:iCs w:val="0"/>
                <w:color w:val="auto"/>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扣分</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企业经营亏损</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r>
    </w:tbl>
    <w:p>
      <w:pPr>
        <w:pStyle w:val="16"/>
        <w:tabs>
          <w:tab w:val="left" w:pos="900"/>
        </w:tabs>
        <w:spacing w:before="0" w:after="0" w:line="560" w:lineRule="exact"/>
        <w:ind w:firstLine="831" w:firstLineChars="230"/>
        <w:rPr>
          <w:rFonts w:ascii="Times New Roman" w:eastAsia="黑体"/>
          <w:color w:val="auto"/>
          <w:kern w:val="2"/>
          <w:sz w:val="32"/>
          <w:szCs w:val="32"/>
        </w:rPr>
      </w:pPr>
      <w:bookmarkStart w:id="0" w:name="_GoBack"/>
      <w:bookmarkEnd w:id="0"/>
      <w:r>
        <w:rPr>
          <w:rFonts w:ascii="Times New Roman"/>
          <w:b/>
          <w:color w:val="auto"/>
          <w:sz w:val="36"/>
          <w:szCs w:val="36"/>
        </w:rPr>
        <w:br w:type="page"/>
      </w:r>
      <w:r>
        <w:rPr>
          <w:rFonts w:hint="eastAsia" w:ascii="Times New Roman" w:eastAsia="黑体"/>
          <w:color w:val="auto"/>
          <w:kern w:val="2"/>
          <w:sz w:val="32"/>
          <w:szCs w:val="32"/>
        </w:rPr>
        <w:t>三、限定性指标的最低标准</w:t>
      </w:r>
    </w:p>
    <w:tbl>
      <w:tblPr>
        <w:tblStyle w:val="1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815"/>
        <w:gridCol w:w="1250"/>
        <w:gridCol w:w="1375"/>
        <w:gridCol w:w="2600"/>
        <w:gridCol w:w="11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91" w:hRule="atLeast"/>
          <w:jc w:val="center"/>
        </w:trPr>
        <w:tc>
          <w:tcPr>
            <w:tcW w:w="181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right"/>
              <w:textAlignment w:val="auto"/>
              <w:rPr>
                <w:rFonts w:ascii="Times New Roman" w:cs="仿宋_GB2312"/>
                <w:b/>
                <w:bCs/>
                <w:sz w:val="24"/>
              </w:rPr>
            </w:pPr>
            <w:r>
              <w:rPr>
                <w:rFonts w:hint="eastAsia" w:ascii="Times New Roman" w:cs="仿宋_GB2312"/>
                <w:b/>
                <w:bCs/>
                <w:sz w:val="24"/>
              </w:rPr>
              <w:t>指标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36" w:firstLineChars="98"/>
              <w:textAlignment w:val="auto"/>
              <w:rPr>
                <w:rFonts w:ascii="Times New Roman" w:cs="仿宋_GB2312"/>
                <w:b/>
                <w:bCs/>
                <w:sz w:val="24"/>
              </w:rPr>
            </w:pPr>
            <w:r>
              <w:rPr>
                <w:rFonts w:hint="eastAsia" w:ascii="Times New Roman" w:cs="仿宋_GB2312"/>
                <w:b/>
                <w:bCs/>
                <w:sz w:val="24"/>
              </w:rPr>
              <w:t>行业</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textAlignment w:val="center"/>
              <w:rPr>
                <w:rFonts w:hint="eastAsia" w:ascii="Times New Roman" w:cs="仿宋_GB2312"/>
                <w:b/>
                <w:bCs/>
                <w:sz w:val="24"/>
              </w:rPr>
            </w:pPr>
            <w:r>
              <w:rPr>
                <w:rFonts w:hint="eastAsia" w:ascii="Times New Roman" w:cs="仿宋_GB2312"/>
                <w:b/>
                <w:bCs/>
                <w:color w:val="auto"/>
                <w:sz w:val="24"/>
              </w:rPr>
              <w:t>企业年主营业务收入</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研究与试验发展经费支出额</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研究与试验发展经费支出额占主营业务（结算收入）的比重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专职研究与试验发展人员数</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textAlignment w:val="center"/>
              <w:rPr>
                <w:rFonts w:ascii="Times New Roman" w:cs="仿宋_GB2312"/>
                <w:b/>
                <w:bCs/>
                <w:sz w:val="24"/>
              </w:rPr>
            </w:pPr>
            <w:r>
              <w:rPr>
                <w:rFonts w:hint="eastAsia" w:ascii="Times New Roman" w:cs="仿宋_GB2312"/>
                <w:b/>
                <w:bCs/>
                <w:sz w:val="24"/>
              </w:rPr>
              <w:t>技术开发仪器设备原值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17"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Times New Roman" w:cs="仿宋_GB2312"/>
                <w:bCs/>
                <w:sz w:val="24"/>
              </w:rPr>
            </w:pPr>
            <w:r>
              <w:rPr>
                <w:rFonts w:hint="eastAsia" w:ascii="Times New Roman" w:cs="仿宋_GB2312"/>
                <w:bCs/>
                <w:sz w:val="24"/>
              </w:rPr>
              <w:t>制造业及其他行业</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textAlignment w:val="center"/>
              <w:rPr>
                <w:rFonts w:hint="eastAsia" w:ascii="Times New Roman" w:cs="仿宋_GB2312"/>
                <w:bCs/>
                <w:sz w:val="24"/>
                <w:lang w:val="en-US" w:eastAsia="zh-CN"/>
              </w:rPr>
            </w:pPr>
            <w:r>
              <w:rPr>
                <w:rFonts w:hint="eastAsia" w:ascii="Times New Roman" w:cs="仿宋_GB2312"/>
                <w:bCs/>
                <w:color w:val="auto"/>
                <w:kern w:val="2"/>
                <w:sz w:val="24"/>
                <w:lang w:val="en-US" w:eastAsia="zh-CN"/>
              </w:rPr>
              <w:t>8000万</w:t>
            </w:r>
            <w:r>
              <w:rPr>
                <w:rFonts w:hint="default" w:ascii="Times New Roman" w:cs="仿宋_GB2312"/>
                <w:bCs/>
                <w:color w:val="auto"/>
                <w:kern w:val="2"/>
                <w:sz w:val="24"/>
              </w:rPr>
              <w:t>元</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lang w:val="en-US" w:eastAsia="zh-CN"/>
              </w:rPr>
              <w:t>6</w:t>
            </w:r>
            <w:r>
              <w:rPr>
                <w:rFonts w:ascii="Times New Roman" w:cs="仿宋_GB2312"/>
                <w:bCs/>
                <w:sz w:val="24"/>
              </w:rPr>
              <w:t>00</w:t>
            </w:r>
            <w:r>
              <w:rPr>
                <w:rFonts w:hint="eastAsia" w:ascii="Times New Roman" w:cs="仿宋_GB2312"/>
                <w:bCs/>
                <w:sz w:val="24"/>
              </w:rPr>
              <w:t>万元</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jc w:val="left"/>
              <w:textAlignment w:val="center"/>
              <w:rPr>
                <w:rFonts w:ascii="Times New Roman" w:cs="仿宋_GB2312"/>
                <w:bCs/>
                <w:sz w:val="24"/>
              </w:rPr>
            </w:pPr>
            <w:r>
              <w:rPr>
                <w:rFonts w:ascii="Times New Roman" w:cs="仿宋_GB2312"/>
                <w:bCs/>
                <w:sz w:val="24"/>
              </w:rPr>
              <w:t>100</w:t>
            </w:r>
            <w:r>
              <w:rPr>
                <w:rFonts w:hint="eastAsia" w:ascii="Times New Roman" w:cs="仿宋_GB2312"/>
                <w:bCs/>
                <w:sz w:val="24"/>
              </w:rPr>
              <w:t>亿元以上：</w:t>
            </w:r>
            <w:r>
              <w:rPr>
                <w:rFonts w:ascii="Times New Roman" w:cs="仿宋_GB2312"/>
                <w:bCs/>
                <w:sz w:val="24"/>
              </w:rPr>
              <w:t>1.5%</w:t>
            </w:r>
          </w:p>
          <w:p>
            <w:pPr>
              <w:autoSpaceDE w:val="0"/>
              <w:autoSpaceDN w:val="0"/>
              <w:spacing w:line="288" w:lineRule="auto"/>
              <w:jc w:val="left"/>
              <w:textAlignment w:val="center"/>
              <w:rPr>
                <w:rFonts w:ascii="Times New Roman" w:cs="仿宋_GB2312"/>
                <w:bCs/>
                <w:sz w:val="24"/>
              </w:rPr>
            </w:pPr>
            <w:r>
              <w:rPr>
                <w:rFonts w:ascii="Times New Roman" w:cs="仿宋_GB2312"/>
                <w:bCs/>
                <w:sz w:val="24"/>
              </w:rPr>
              <w:t>10</w:t>
            </w:r>
            <w:r>
              <w:rPr>
                <w:rFonts w:hint="eastAsia" w:ascii="Times New Roman" w:cs="仿宋_GB2312"/>
                <w:bCs/>
                <w:sz w:val="24"/>
              </w:rPr>
              <w:t>亿元至</w:t>
            </w:r>
            <w:r>
              <w:rPr>
                <w:rFonts w:ascii="Times New Roman" w:cs="仿宋_GB2312"/>
                <w:bCs/>
                <w:sz w:val="24"/>
              </w:rPr>
              <w:t>100</w:t>
            </w:r>
            <w:r>
              <w:rPr>
                <w:rFonts w:hint="eastAsia" w:ascii="Times New Roman" w:cs="仿宋_GB2312"/>
                <w:bCs/>
                <w:sz w:val="24"/>
              </w:rPr>
              <w:t>亿元（含）：</w:t>
            </w:r>
            <w:r>
              <w:rPr>
                <w:rFonts w:ascii="Times New Roman" w:cs="仿宋_GB2312"/>
                <w:bCs/>
                <w:sz w:val="24"/>
              </w:rPr>
              <w:t>2.0%</w:t>
            </w:r>
          </w:p>
          <w:p>
            <w:pPr>
              <w:autoSpaceDE w:val="0"/>
              <w:autoSpaceDN w:val="0"/>
              <w:spacing w:line="288" w:lineRule="auto"/>
              <w:jc w:val="left"/>
              <w:textAlignment w:val="center"/>
              <w:rPr>
                <w:rFonts w:ascii="Times New Roman" w:cs="仿宋_GB2312"/>
                <w:bCs/>
                <w:sz w:val="24"/>
              </w:rPr>
            </w:pPr>
            <w:r>
              <w:rPr>
                <w:rFonts w:ascii="Times New Roman" w:cs="仿宋_GB2312"/>
                <w:bCs/>
                <w:sz w:val="24"/>
              </w:rPr>
              <w:t>10</w:t>
            </w:r>
            <w:r>
              <w:rPr>
                <w:rFonts w:hint="eastAsia" w:ascii="Times New Roman" w:cs="仿宋_GB2312"/>
                <w:bCs/>
                <w:sz w:val="24"/>
              </w:rPr>
              <w:t>亿元（含）</w:t>
            </w:r>
            <w:r>
              <w:rPr>
                <w:rFonts w:hint="eastAsia" w:ascii="Times New Roman" w:cs="仿宋_GB2312"/>
                <w:bCs/>
                <w:sz w:val="24"/>
                <w:lang w:eastAsia="zh-CN"/>
              </w:rPr>
              <w:t>以下</w:t>
            </w:r>
            <w:r>
              <w:rPr>
                <w:rFonts w:hint="eastAsia" w:ascii="Times New Roman" w:cs="仿宋_GB2312"/>
                <w:bCs/>
                <w:sz w:val="24"/>
              </w:rPr>
              <w:t>：</w:t>
            </w:r>
            <w:r>
              <w:rPr>
                <w:rFonts w:ascii="Times New Roman" w:cs="仿宋_GB2312"/>
                <w:bCs/>
                <w:sz w:val="24"/>
              </w:rPr>
              <w:t>3.0%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rFonts w:ascii="Times New Roman" w:cs="仿宋_GB2312"/>
                <w:bCs/>
                <w:sz w:val="24"/>
              </w:rPr>
            </w:pPr>
            <w:r>
              <w:rPr>
                <w:rFonts w:hint="eastAsia" w:ascii="Times New Roman" w:cs="仿宋_GB2312"/>
                <w:bCs/>
                <w:sz w:val="24"/>
                <w:lang w:val="en-US" w:eastAsia="zh-CN"/>
              </w:rPr>
              <w:t>3</w:t>
            </w:r>
            <w:r>
              <w:rPr>
                <w:rFonts w:ascii="Times New Roman" w:cs="仿宋_GB2312"/>
                <w:bCs/>
                <w:sz w:val="24"/>
              </w:rPr>
              <w:t>0</w:t>
            </w:r>
            <w:r>
              <w:rPr>
                <w:rFonts w:hint="eastAsia" w:ascii="Times New Roman" w:cs="仿宋_GB2312"/>
                <w:bCs/>
                <w:sz w:val="24"/>
              </w:rPr>
              <w:t>人</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rFonts w:ascii="Times New Roman" w:cs="仿宋_GB2312"/>
                <w:bCs/>
                <w:sz w:val="24"/>
              </w:rPr>
            </w:pPr>
            <w:r>
              <w:rPr>
                <w:rFonts w:hint="eastAsia" w:ascii="Times New Roman" w:cs="仿宋_GB2312"/>
                <w:bCs/>
                <w:sz w:val="24"/>
                <w:lang w:val="en-US" w:eastAsia="zh-CN"/>
              </w:rPr>
              <w:t>6</w:t>
            </w:r>
            <w:r>
              <w:rPr>
                <w:rFonts w:ascii="Times New Roman" w:cs="仿宋_GB2312"/>
                <w:bCs/>
                <w:sz w:val="24"/>
              </w:rPr>
              <w:t>00</w:t>
            </w:r>
            <w:r>
              <w:rPr>
                <w:rFonts w:hint="eastAsia" w:ascii="Times New Roman" w:cs="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81"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rPr>
              <w:t>建筑业</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textAlignment w:val="center"/>
              <w:rPr>
                <w:rFonts w:hint="eastAsia" w:ascii="Times New Roman" w:cs="仿宋_GB2312"/>
                <w:bCs/>
                <w:sz w:val="24"/>
                <w:lang w:val="en-US" w:eastAsia="zh-CN"/>
              </w:rPr>
            </w:pPr>
            <w:r>
              <w:rPr>
                <w:rFonts w:hint="eastAsia" w:ascii="Times New Roman" w:cs="仿宋_GB2312"/>
                <w:bCs/>
                <w:color w:val="auto"/>
                <w:kern w:val="2"/>
                <w:sz w:val="24"/>
                <w:lang w:val="en-US" w:eastAsia="zh-CN"/>
              </w:rPr>
              <w:t>3</w:t>
            </w:r>
            <w:r>
              <w:rPr>
                <w:rFonts w:hint="default" w:ascii="Times New Roman" w:cs="仿宋_GB2312"/>
                <w:bCs/>
                <w:color w:val="auto"/>
                <w:kern w:val="2"/>
                <w:sz w:val="24"/>
              </w:rPr>
              <w:t>亿元</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lang w:val="en-US" w:eastAsia="zh-CN"/>
              </w:rPr>
              <w:t>6</w:t>
            </w:r>
            <w:r>
              <w:rPr>
                <w:rFonts w:ascii="Times New Roman" w:cs="仿宋_GB2312"/>
                <w:bCs/>
                <w:sz w:val="24"/>
              </w:rPr>
              <w:t>00</w:t>
            </w:r>
            <w:r>
              <w:rPr>
                <w:rFonts w:hint="eastAsia" w:ascii="Times New Roman" w:cs="仿宋_GB2312"/>
                <w:bCs/>
                <w:sz w:val="24"/>
              </w:rPr>
              <w:t>万元</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textAlignment w:val="center"/>
              <w:rPr>
                <w:rFonts w:ascii="Times New Roman" w:cs="仿宋_GB2312"/>
                <w:bCs/>
                <w:sz w:val="24"/>
              </w:rPr>
            </w:pPr>
            <w:r>
              <w:rPr>
                <w:rFonts w:ascii="Times New Roman" w:cs="仿宋_GB2312"/>
                <w:bCs/>
                <w:sz w:val="24"/>
              </w:rPr>
              <w:t>0.5%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lang w:val="en-US" w:eastAsia="zh-CN"/>
              </w:rPr>
              <w:t>4</w:t>
            </w:r>
            <w:r>
              <w:rPr>
                <w:rFonts w:ascii="Times New Roman" w:cs="仿宋_GB2312"/>
                <w:bCs/>
                <w:sz w:val="24"/>
              </w:rPr>
              <w:t>0</w:t>
            </w:r>
            <w:r>
              <w:rPr>
                <w:rFonts w:hint="eastAsia" w:ascii="Times New Roman" w:cs="仿宋_GB2312"/>
                <w:bCs/>
                <w:sz w:val="24"/>
              </w:rPr>
              <w:t>人</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textAlignment w:val="center"/>
              <w:rPr>
                <w:rFonts w:ascii="Times New Roman" w:cs="仿宋_GB2312"/>
                <w:bCs/>
                <w:sz w:val="24"/>
              </w:rPr>
            </w:pPr>
            <w:r>
              <w:rPr>
                <w:rFonts w:hint="eastAsia" w:ascii="Times New Roman" w:cs="仿宋_GB2312"/>
                <w:bCs/>
                <w:sz w:val="24"/>
                <w:lang w:val="en-US" w:eastAsia="zh-CN"/>
              </w:rPr>
              <w:t>8</w:t>
            </w:r>
            <w:r>
              <w:rPr>
                <w:rFonts w:ascii="Times New Roman" w:cs="仿宋_GB2312"/>
                <w:bCs/>
                <w:sz w:val="24"/>
              </w:rPr>
              <w:t>00</w:t>
            </w:r>
            <w:r>
              <w:rPr>
                <w:rFonts w:hint="eastAsia" w:ascii="Times New Roman" w:cs="仿宋_GB2312"/>
                <w:bCs/>
                <w:sz w:val="24"/>
              </w:rPr>
              <w:t>万元</w:t>
            </w:r>
          </w:p>
        </w:tc>
      </w:tr>
    </w:tbl>
    <w:p>
      <w:pPr>
        <w:tabs>
          <w:tab w:val="left" w:pos="900"/>
        </w:tabs>
        <w:spacing w:line="500" w:lineRule="exact"/>
        <w:ind w:firstLine="550"/>
        <w:rPr>
          <w:rFonts w:ascii="Times New Roman" w:cs="仿宋_GB2312"/>
          <w:sz w:val="24"/>
        </w:rPr>
      </w:pPr>
      <w:r>
        <w:rPr>
          <w:rFonts w:hint="eastAsia" w:ascii="Times New Roman" w:cs="仿宋_GB2312"/>
          <w:b/>
          <w:bCs/>
          <w:sz w:val="24"/>
        </w:rPr>
        <w:t>有关说明：</w:t>
      </w:r>
      <w:r>
        <w:rPr>
          <w:rFonts w:hint="eastAsia" w:ascii="Times New Roman" w:cs="仿宋_GB2312"/>
          <w:sz w:val="24"/>
        </w:rPr>
        <w:t>考虑到不同规模企业在研究与试验发展经费投入强度上存在显著差异，对制造业及其他行业的“研究与试验发展经费支出额占主营业务收入的比重”指标的基本要求，按照企业主营业务收入规模划分为</w:t>
      </w:r>
      <w:r>
        <w:rPr>
          <w:rFonts w:ascii="Times New Roman" w:cs="仿宋_GB2312"/>
          <w:sz w:val="24"/>
        </w:rPr>
        <w:t>3</w:t>
      </w:r>
      <w:r>
        <w:rPr>
          <w:rFonts w:hint="eastAsia" w:ascii="Times New Roman" w:cs="仿宋_GB2312"/>
          <w:sz w:val="24"/>
        </w:rPr>
        <w:t>档。</w:t>
      </w:r>
    </w:p>
    <w:p>
      <w:pPr>
        <w:tabs>
          <w:tab w:val="left" w:pos="900"/>
        </w:tabs>
        <w:spacing w:line="500" w:lineRule="exact"/>
        <w:ind w:firstLine="550"/>
        <w:rPr>
          <w:rFonts w:ascii="Times New Roman" w:cs="仿宋_GB2312"/>
          <w:bCs/>
          <w:sz w:val="24"/>
        </w:rPr>
      </w:pPr>
      <w:r>
        <w:rPr>
          <w:rFonts w:hint="eastAsia" w:ascii="Times New Roman" w:cs="仿宋_GB2312"/>
          <w:sz w:val="24"/>
        </w:rPr>
        <w:t>（1）主营业务收入10亿元（含）</w:t>
      </w:r>
      <w:r>
        <w:rPr>
          <w:rFonts w:hint="eastAsia" w:ascii="Times New Roman" w:cs="仿宋_GB2312"/>
          <w:sz w:val="24"/>
          <w:lang w:eastAsia="zh-CN"/>
        </w:rPr>
        <w:t>以下</w:t>
      </w:r>
      <w:r>
        <w:rPr>
          <w:rFonts w:hint="eastAsia" w:ascii="Times New Roman" w:cs="仿宋_GB2312"/>
          <w:sz w:val="24"/>
        </w:rPr>
        <w:t>：如主营业务收入为10亿元，则研究与试验发展经费支出额须超过3000万元，才符合“研究与试验发展经费支出额占主营业务的比重”的最低标准</w:t>
      </w:r>
      <w:r>
        <w:rPr>
          <w:rFonts w:hint="eastAsia" w:ascii="Times New Roman" w:cs="仿宋_GB2312"/>
          <w:bCs/>
          <w:sz w:val="24"/>
        </w:rPr>
        <w:t>。</w:t>
      </w:r>
    </w:p>
    <w:p>
      <w:pPr>
        <w:tabs>
          <w:tab w:val="left" w:pos="900"/>
        </w:tabs>
        <w:spacing w:line="500" w:lineRule="exact"/>
        <w:ind w:firstLine="550"/>
        <w:rPr>
          <w:rFonts w:ascii="Times New Roman" w:cs="仿宋_GB2312"/>
          <w:bCs/>
          <w:sz w:val="24"/>
        </w:rPr>
      </w:pPr>
      <w:r>
        <w:rPr>
          <w:rFonts w:hint="eastAsia" w:ascii="Times New Roman" w:cs="仿宋_GB2312"/>
          <w:sz w:val="24"/>
        </w:rPr>
        <w:t>（2）主营业务收入10亿元至100亿元（含）：如主营业务收入为100亿元，则研究与试验发展经费支出额须超过2.1亿元（10亿元*3.0%+90亿元*2.0%），才符合“研究与试验发展经费支出额占主营业务的比重”的最低标准</w:t>
      </w:r>
      <w:r>
        <w:rPr>
          <w:rFonts w:hint="eastAsia" w:ascii="Times New Roman" w:cs="仿宋_GB2312"/>
          <w:bCs/>
          <w:sz w:val="24"/>
        </w:rPr>
        <w:t>。</w:t>
      </w:r>
    </w:p>
    <w:p>
      <w:pPr>
        <w:tabs>
          <w:tab w:val="left" w:pos="900"/>
        </w:tabs>
        <w:spacing w:line="500" w:lineRule="exact"/>
        <w:ind w:firstLine="550"/>
        <w:rPr>
          <w:rFonts w:ascii="Times New Roman" w:cs="仿宋_GB2312"/>
          <w:bCs/>
          <w:sz w:val="24"/>
        </w:rPr>
      </w:pPr>
      <w:r>
        <w:rPr>
          <w:rFonts w:hint="eastAsia" w:ascii="Times New Roman" w:cs="仿宋_GB2312"/>
          <w:sz w:val="24"/>
        </w:rPr>
        <w:t>（3）主营业务收入100亿元以上：如主营业务收入为120亿元，则研究与试验发展经费支出额须超过2.4亿元（10亿元*3.0%+90亿元*2.0%+20亿元*1.5%），才符合“研究与试验发展经费支出额占主营业务的比重”的最低标准</w:t>
      </w:r>
      <w:r>
        <w:rPr>
          <w:rFonts w:hint="eastAsia" w:ascii="Times New Roman" w:cs="仿宋_GB2312"/>
          <w:bCs/>
          <w:sz w:val="24"/>
        </w:rPr>
        <w:t>。</w:t>
      </w:r>
    </w:p>
    <w:p>
      <w:pPr>
        <w:tabs>
          <w:tab w:val="left" w:pos="900"/>
        </w:tabs>
        <w:spacing w:line="500" w:lineRule="exact"/>
        <w:ind w:firstLine="550"/>
        <w:rPr>
          <w:rFonts w:ascii="Times New Roman" w:cs="仿宋_GB2312"/>
          <w:sz w:val="24"/>
        </w:rPr>
      </w:pPr>
    </w:p>
    <w:p>
      <w:pPr>
        <w:tabs>
          <w:tab w:val="left" w:pos="900"/>
        </w:tabs>
        <w:spacing w:line="560" w:lineRule="exact"/>
        <w:rPr>
          <w:rFonts w:ascii="Times New Roman" w:eastAsia="仿宋"/>
          <w:b/>
          <w:sz w:val="36"/>
          <w:szCs w:val="36"/>
        </w:rPr>
      </w:pPr>
      <w:r>
        <w:rPr>
          <w:rFonts w:ascii="Times New Roman" w:cs="仿宋_GB2312"/>
          <w:sz w:val="28"/>
          <w:szCs w:val="28"/>
        </w:rPr>
        <w:br w:type="page"/>
      </w:r>
      <w:r>
        <w:rPr>
          <w:rFonts w:hint="eastAsia" w:ascii="Times New Roman" w:eastAsia="黑体"/>
        </w:rPr>
        <w:t>四、行业系数</w:t>
      </w:r>
    </w:p>
    <w:tbl>
      <w:tblPr>
        <w:tblStyle w:val="1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78"/>
        <w:gridCol w:w="4058"/>
        <w:gridCol w:w="2029"/>
        <w:gridCol w:w="166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66" w:hRule="atLeast"/>
          <w:tblHeader/>
          <w:jc w:val="center"/>
        </w:trPr>
        <w:tc>
          <w:tcPr>
            <w:tcW w:w="4836" w:type="dxa"/>
            <w:gridSpan w:val="2"/>
            <w:tcBorders>
              <w:tl2br w:val="nil"/>
            </w:tcBorders>
            <w:noWrap w:val="0"/>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所属行业</w:t>
            </w:r>
          </w:p>
        </w:tc>
        <w:tc>
          <w:tcPr>
            <w:tcW w:w="5044" w:type="dxa"/>
            <w:gridSpan w:val="3"/>
            <w:noWrap w:val="0"/>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行业系数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9" w:hRule="atLeast"/>
          <w:tblHeader/>
          <w:jc w:val="center"/>
        </w:trPr>
        <w:tc>
          <w:tcPr>
            <w:tcW w:w="778" w:type="dxa"/>
            <w:tcBorders>
              <w:tl2br w:val="nil"/>
            </w:tcBorders>
            <w:noWrap w:val="0"/>
            <w:vAlign w:val="center"/>
          </w:tcPr>
          <w:p>
            <w:pPr>
              <w:autoSpaceDE w:val="0"/>
              <w:autoSpaceDN w:val="0"/>
              <w:adjustRightInd w:val="0"/>
              <w:snapToGrid w:val="0"/>
              <w:jc w:val="center"/>
              <w:rPr>
                <w:rFonts w:ascii="Times New Roman" w:cs="仿宋_GB2312"/>
                <w:b/>
                <w:bCs/>
                <w:sz w:val="24"/>
              </w:rPr>
            </w:pPr>
            <w:r>
              <w:rPr>
                <w:rFonts w:ascii="Times New Roman" w:cs="仿宋_GB2312"/>
                <w:b/>
                <w:bCs/>
                <w:sz w:val="24"/>
              </w:rPr>
              <w:t>行业大类代码</w:t>
            </w:r>
          </w:p>
        </w:tc>
        <w:tc>
          <w:tcPr>
            <w:tcW w:w="4058" w:type="dxa"/>
            <w:tcBorders>
              <w:tl2br w:val="nil"/>
            </w:tcBorders>
            <w:noWrap w:val="0"/>
            <w:vAlign w:val="center"/>
          </w:tcPr>
          <w:p>
            <w:pPr>
              <w:autoSpaceDE w:val="0"/>
              <w:autoSpaceDN w:val="0"/>
              <w:adjustRightInd w:val="0"/>
              <w:snapToGrid w:val="0"/>
              <w:jc w:val="left"/>
              <w:rPr>
                <w:rFonts w:ascii="Times New Roman" w:cs="仿宋_GB2312"/>
                <w:b/>
                <w:bCs/>
                <w:sz w:val="24"/>
              </w:rPr>
            </w:pPr>
            <w:r>
              <w:rPr>
                <w:rFonts w:ascii="Times New Roman" w:cs="仿宋_GB2312"/>
                <w:b/>
                <w:bCs/>
                <w:sz w:val="24"/>
              </w:rPr>
              <w:t xml:space="preserve">  </w:t>
            </w:r>
            <w:r>
              <w:rPr>
                <w:rFonts w:hint="eastAsia" w:ascii="Times New Roman" w:cs="仿宋_GB2312"/>
                <w:b/>
                <w:bCs/>
                <w:sz w:val="24"/>
              </w:rPr>
              <w:t>行业大类名称</w:t>
            </w:r>
          </w:p>
        </w:tc>
        <w:tc>
          <w:tcPr>
            <w:tcW w:w="2029" w:type="dxa"/>
            <w:noWrap w:val="0"/>
            <w:vAlign w:val="center"/>
          </w:tcPr>
          <w:p>
            <w:pPr>
              <w:autoSpaceDE w:val="0"/>
              <w:autoSpaceDN w:val="0"/>
              <w:adjustRightInd w:val="0"/>
              <w:snapToGrid w:val="0"/>
              <w:jc w:val="center"/>
              <w:textAlignment w:val="center"/>
              <w:rPr>
                <w:rFonts w:ascii="Times New Roman" w:cs="仿宋_GB2312"/>
                <w:b/>
                <w:bCs/>
                <w:sz w:val="24"/>
              </w:rPr>
            </w:pPr>
            <w:r>
              <w:rPr>
                <w:rFonts w:hint="eastAsia" w:ascii="Times New Roman" w:cs="仿宋_GB2312"/>
                <w:b/>
                <w:bCs/>
                <w:sz w:val="24"/>
              </w:rPr>
              <w:t>研究与试验发展经费支出额占企业主营业务收入（结算收入）的比重</w:t>
            </w:r>
          </w:p>
        </w:tc>
        <w:tc>
          <w:tcPr>
            <w:tcW w:w="1666" w:type="dxa"/>
            <w:noWrap w:val="0"/>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新产品销售收入占企业主营业务收入（结算收入）的比重</w:t>
            </w:r>
          </w:p>
        </w:tc>
        <w:tc>
          <w:tcPr>
            <w:tcW w:w="1349" w:type="dxa"/>
            <w:noWrap w:val="0"/>
            <w:vAlign w:val="center"/>
          </w:tcPr>
          <w:p>
            <w:pPr>
              <w:autoSpaceDE w:val="0"/>
              <w:autoSpaceDN w:val="0"/>
              <w:adjustRightInd w:val="0"/>
              <w:snapToGrid w:val="0"/>
              <w:jc w:val="center"/>
              <w:rPr>
                <w:rFonts w:ascii="Times New Roman" w:cs="仿宋_GB2312"/>
                <w:b/>
                <w:bCs/>
                <w:sz w:val="24"/>
              </w:rPr>
            </w:pPr>
            <w:r>
              <w:rPr>
                <w:rFonts w:hint="eastAsia" w:ascii="Times New Roman" w:cs="仿宋_GB2312"/>
                <w:b/>
                <w:bCs/>
                <w:sz w:val="24"/>
              </w:rPr>
              <w:t>新产品销售利润占企业利润总额的比重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06</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煤炭开采和洗选业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2.0</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07</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石油和天然气开采业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08</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黑色金属矿采选业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09</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有色金属矿采选业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10</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非金属矿采选业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13</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农副食品加工业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14</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食品制造业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15</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酒、饮料和精制茶制造业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16</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烟草制品业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17</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纺织业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18</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纺织服装、服饰业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19</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皮革、毛皮、羽毛及其制品和制鞋业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20</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木材加工和木、竹、藤、棕、草制品业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21</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家具制造业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22</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造纸和纸制品业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23</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印刷和记录媒介复制业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24</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文教、工美、体育和娱乐用品制造业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25</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石油、煤炭及其他燃料加工业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2.5</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26</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化学原料和化学制品制造业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27</w:t>
            </w:r>
          </w:p>
        </w:tc>
        <w:tc>
          <w:tcPr>
            <w:tcW w:w="4058" w:type="dxa"/>
            <w:noWrap w:val="0"/>
            <w:vAlign w:val="center"/>
          </w:tcPr>
          <w:p>
            <w:pPr>
              <w:autoSpaceDE w:val="0"/>
              <w:autoSpaceDN w:val="0"/>
              <w:adjustRightInd w:val="0"/>
              <w:snapToGrid w:val="0"/>
              <w:jc w:val="left"/>
              <w:textAlignment w:val="center"/>
              <w:rPr>
                <w:rFonts w:ascii="Times New Roman" w:cs="仿宋_GB2312"/>
                <w:bCs/>
                <w:sz w:val="24"/>
              </w:rPr>
            </w:pPr>
            <w:r>
              <w:rPr>
                <w:rFonts w:hint="eastAsia" w:ascii="Times New Roman" w:cs="仿宋_GB2312"/>
                <w:sz w:val="24"/>
              </w:rPr>
              <w:t>医药制造业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28</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化学纤维制造业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29</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橡胶和塑料制品业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30</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非金属矿物制品业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31</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黑色金属冶炼和压延加工业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32</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有色金属冶炼和压延加工业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1.2</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33</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金属制品业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34</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通用设备制造业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hint="eastAsia" w:ascii="Times New Roman" w:hAnsi="Times New Roman" w:eastAsia="仿宋_GB2312" w:cs="仿宋_GB2312"/>
                <w:kern w:val="2"/>
                <w:sz w:val="24"/>
                <w:szCs w:val="32"/>
                <w:lang w:val="en-US" w:eastAsia="zh-CN" w:bidi="ar-SA"/>
              </w:rPr>
            </w:pPr>
            <w:r>
              <w:rPr>
                <w:rFonts w:hint="eastAsia" w:ascii="Times New Roman" w:cs="仿宋_GB2312"/>
                <w:sz w:val="24"/>
              </w:rPr>
              <w:t>35</w:t>
            </w:r>
          </w:p>
        </w:tc>
        <w:tc>
          <w:tcPr>
            <w:tcW w:w="4058" w:type="dxa"/>
            <w:noWrap w:val="0"/>
            <w:vAlign w:val="center"/>
          </w:tcPr>
          <w:p>
            <w:pPr>
              <w:autoSpaceDE w:val="0"/>
              <w:autoSpaceDN w:val="0"/>
              <w:adjustRightInd w:val="0"/>
              <w:snapToGrid w:val="0"/>
              <w:jc w:val="left"/>
              <w:textAlignment w:val="center"/>
              <w:rPr>
                <w:rFonts w:hint="eastAsia" w:ascii="Times New Roman" w:hAnsi="Times New Roman" w:eastAsia="仿宋_GB2312" w:cs="仿宋_GB2312"/>
                <w:kern w:val="2"/>
                <w:sz w:val="24"/>
                <w:szCs w:val="32"/>
                <w:lang w:val="en-US" w:eastAsia="zh-CN" w:bidi="ar-SA"/>
              </w:rPr>
            </w:pPr>
            <w:r>
              <w:rPr>
                <w:rFonts w:hint="eastAsia" w:ascii="Times New Roman" w:cs="仿宋_GB2312"/>
                <w:sz w:val="24"/>
              </w:rPr>
              <w:t>专用设备制造业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36</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汽车制造业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37</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铁路、船舶、航空航天和其他运输设备制造业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38</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电气机械和器材制造业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39</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计算机、通信和其他电子设备制造业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40</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仪器仪表制造业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44</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电力、热力生产和供应业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2.5</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45</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燃气生产和供应业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46</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水的生产和供应业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47</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房屋建筑业</w:t>
            </w:r>
          </w:p>
        </w:tc>
        <w:tc>
          <w:tcPr>
            <w:tcW w:w="202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hint="eastAsia" w:ascii="Times New Roman" w:cs="仿宋_GB2312"/>
                <w:bCs/>
                <w:sz w:val="24"/>
              </w:rPr>
              <w:t>1</w:t>
            </w:r>
            <w:r>
              <w:rPr>
                <w:rFonts w:ascii="Times New Roman" w:cs="仿宋_GB2312"/>
                <w:bCs/>
                <w:sz w:val="24"/>
              </w:rPr>
              <w:t>.0</w:t>
            </w:r>
          </w:p>
        </w:tc>
        <w:tc>
          <w:tcPr>
            <w:tcW w:w="1666"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c>
          <w:tcPr>
            <w:tcW w:w="1349" w:type="dxa"/>
            <w:vMerge w:val="restart"/>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48</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土木工程建筑业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49</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建筑安装业</w:t>
            </w:r>
          </w:p>
        </w:tc>
        <w:tc>
          <w:tcPr>
            <w:tcW w:w="202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666"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c>
          <w:tcPr>
            <w:tcW w:w="1349" w:type="dxa"/>
            <w:vMerge w:val="continue"/>
            <w:noWrap w:val="0"/>
            <w:vAlign w:val="center"/>
          </w:tcPr>
          <w:p>
            <w:pPr>
              <w:autoSpaceDE w:val="0"/>
              <w:autoSpaceDN w:val="0"/>
              <w:adjustRightInd w:val="0"/>
              <w:snapToGrid w:val="0"/>
              <w:jc w:val="center"/>
              <w:textAlignment w:val="center"/>
              <w:rPr>
                <w:rFonts w:ascii="Times New Roman"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65</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软件和信息技术服务业</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0.6</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778" w:type="dxa"/>
            <w:noWrap w:val="0"/>
            <w:vAlign w:val="center"/>
          </w:tcPr>
          <w:p>
            <w:pPr>
              <w:autoSpaceDE w:val="0"/>
              <w:autoSpaceDN w:val="0"/>
              <w:adjustRightInd w:val="0"/>
              <w:snapToGrid w:val="0"/>
              <w:jc w:val="center"/>
              <w:textAlignment w:val="center"/>
              <w:rPr>
                <w:rFonts w:ascii="Times New Roman" w:cs="仿宋_GB2312"/>
                <w:sz w:val="24"/>
              </w:rPr>
            </w:pPr>
            <w:r>
              <w:rPr>
                <w:rFonts w:hint="eastAsia" w:ascii="Times New Roman" w:cs="仿宋_GB2312"/>
                <w:sz w:val="24"/>
              </w:rPr>
              <w:t>/</w:t>
            </w:r>
          </w:p>
        </w:tc>
        <w:tc>
          <w:tcPr>
            <w:tcW w:w="4058" w:type="dxa"/>
            <w:noWrap w:val="0"/>
            <w:vAlign w:val="center"/>
          </w:tcPr>
          <w:p>
            <w:pPr>
              <w:autoSpaceDE w:val="0"/>
              <w:autoSpaceDN w:val="0"/>
              <w:adjustRightInd w:val="0"/>
              <w:snapToGrid w:val="0"/>
              <w:jc w:val="left"/>
              <w:textAlignment w:val="center"/>
              <w:rPr>
                <w:rFonts w:ascii="Times New Roman" w:cs="仿宋_GB2312"/>
                <w:sz w:val="24"/>
              </w:rPr>
            </w:pPr>
            <w:r>
              <w:rPr>
                <w:rFonts w:hint="eastAsia" w:ascii="Times New Roman" w:cs="仿宋_GB2312"/>
                <w:sz w:val="24"/>
              </w:rPr>
              <w:t>其他</w:t>
            </w:r>
          </w:p>
        </w:tc>
        <w:tc>
          <w:tcPr>
            <w:tcW w:w="202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666"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c>
          <w:tcPr>
            <w:tcW w:w="1349" w:type="dxa"/>
            <w:noWrap w:val="0"/>
            <w:vAlign w:val="center"/>
          </w:tcPr>
          <w:p>
            <w:pPr>
              <w:autoSpaceDE w:val="0"/>
              <w:autoSpaceDN w:val="0"/>
              <w:adjustRightInd w:val="0"/>
              <w:snapToGrid w:val="0"/>
              <w:jc w:val="center"/>
              <w:textAlignment w:val="center"/>
              <w:rPr>
                <w:rFonts w:ascii="Times New Roman" w:cs="仿宋_GB2312"/>
                <w:bCs/>
                <w:sz w:val="24"/>
              </w:rPr>
            </w:pPr>
            <w:r>
              <w:rPr>
                <w:rFonts w:ascii="Times New Roman" w:cs="仿宋_GB2312"/>
                <w:bCs/>
                <w:sz w:val="24"/>
              </w:rPr>
              <w:t>1.0</w:t>
            </w:r>
          </w:p>
        </w:tc>
      </w:tr>
    </w:tbl>
    <w:p>
      <w:pPr>
        <w:spacing w:line="500" w:lineRule="exact"/>
        <w:ind w:firstLine="482" w:firstLineChars="200"/>
        <w:rPr>
          <w:rFonts w:ascii="Times New Roman" w:cs="仿宋_GB2312"/>
          <w:b/>
          <w:bCs/>
          <w:sz w:val="24"/>
          <w:szCs w:val="24"/>
        </w:rPr>
      </w:pPr>
      <w:r>
        <w:rPr>
          <w:rFonts w:hint="eastAsia" w:ascii="Times New Roman" w:cs="仿宋_GB2312"/>
          <w:b/>
          <w:bCs/>
          <w:sz w:val="24"/>
          <w:szCs w:val="24"/>
        </w:rPr>
        <w:t>有关说明：</w:t>
      </w:r>
    </w:p>
    <w:p>
      <w:pPr>
        <w:spacing w:line="500" w:lineRule="exact"/>
        <w:ind w:firstLine="480" w:firstLineChars="200"/>
        <w:rPr>
          <w:rFonts w:ascii="Times New Roman" w:cs="仿宋_GB2312"/>
          <w:sz w:val="24"/>
        </w:rPr>
      </w:pPr>
      <w:r>
        <w:rPr>
          <w:rFonts w:hint="eastAsia" w:ascii="Times New Roman" w:cs="仿宋_GB2312"/>
          <w:sz w:val="24"/>
        </w:rPr>
        <w:t>（一）由于不同行业在技术创新投入与产出方面存在较大差异，企业技术中心评估时，对不同行业的“研究与试验发展经费支出额占主营业务收入的比重、新产品销售收入占主营业务收入的比重、新产品销售利润占利润总额的比重”等</w:t>
      </w:r>
      <w:r>
        <w:rPr>
          <w:rFonts w:ascii="Times New Roman" w:cs="仿宋_GB2312"/>
          <w:sz w:val="24"/>
        </w:rPr>
        <w:t>3</w:t>
      </w:r>
      <w:r>
        <w:rPr>
          <w:rFonts w:hint="eastAsia" w:ascii="Times New Roman" w:cs="仿宋_GB2312"/>
          <w:sz w:val="24"/>
        </w:rPr>
        <w:t>个指标引入行业系数加以调节。</w:t>
      </w:r>
    </w:p>
    <w:p>
      <w:pPr>
        <w:spacing w:line="500" w:lineRule="exact"/>
        <w:ind w:firstLine="480" w:firstLineChars="200"/>
        <w:rPr>
          <w:rFonts w:ascii="Times New Roman" w:cs="仿宋_GB2312"/>
          <w:sz w:val="24"/>
        </w:rPr>
      </w:pPr>
      <w:r>
        <w:rPr>
          <w:rFonts w:hint="eastAsia" w:ascii="Times New Roman" w:cs="仿宋_GB2312"/>
          <w:sz w:val="24"/>
        </w:rPr>
        <w:t>（二）行业系数只作为评估机构评价时使用，企业填报时无需考虑行业系数，按实际数据填报。评价时，根据企业填报的实际数据得出上述指标的比重，再乘以行业系数，得出上述指标的评价值。</w:t>
      </w:r>
    </w:p>
    <w:p>
      <w:pPr>
        <w:spacing w:line="500" w:lineRule="exact"/>
        <w:ind w:firstLine="480" w:firstLineChars="200"/>
      </w:pPr>
      <w:r>
        <w:rPr>
          <w:rFonts w:hint="eastAsia" w:ascii="Times New Roman" w:cs="仿宋_GB2312"/>
          <w:sz w:val="24"/>
        </w:rPr>
        <w:t>（三）行业系数表中的“其他”行业包括“52零售业”、“60邮政业”、“74专业技术服务业”等行业。</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Q3ZTU3OTgxOTVlNDcyZjhiZTBiYjIxMTA1MjEifQ=="/>
  </w:docVars>
  <w:rsids>
    <w:rsidRoot w:val="76C54EBD"/>
    <w:rsid w:val="02C8574C"/>
    <w:rsid w:val="044F7F4D"/>
    <w:rsid w:val="069532B1"/>
    <w:rsid w:val="06DA3B26"/>
    <w:rsid w:val="077C272C"/>
    <w:rsid w:val="07FC6448"/>
    <w:rsid w:val="0D0C02C0"/>
    <w:rsid w:val="0DD856C5"/>
    <w:rsid w:val="0E8C646E"/>
    <w:rsid w:val="0F2129DA"/>
    <w:rsid w:val="101F0E02"/>
    <w:rsid w:val="11D6641F"/>
    <w:rsid w:val="1645606E"/>
    <w:rsid w:val="1CED326C"/>
    <w:rsid w:val="225C4489"/>
    <w:rsid w:val="226A1A62"/>
    <w:rsid w:val="238C519F"/>
    <w:rsid w:val="24354CC8"/>
    <w:rsid w:val="250C3118"/>
    <w:rsid w:val="2AE23E18"/>
    <w:rsid w:val="309A1030"/>
    <w:rsid w:val="30B35F99"/>
    <w:rsid w:val="312D2A91"/>
    <w:rsid w:val="320B0D7F"/>
    <w:rsid w:val="3A7D0C1B"/>
    <w:rsid w:val="3CA22146"/>
    <w:rsid w:val="3E021562"/>
    <w:rsid w:val="3F9C7D6C"/>
    <w:rsid w:val="418B0910"/>
    <w:rsid w:val="41FC65D1"/>
    <w:rsid w:val="46A049B2"/>
    <w:rsid w:val="491A4480"/>
    <w:rsid w:val="4FB05222"/>
    <w:rsid w:val="5436702E"/>
    <w:rsid w:val="5B4274D4"/>
    <w:rsid w:val="5D163B46"/>
    <w:rsid w:val="5D185064"/>
    <w:rsid w:val="625D4D8C"/>
    <w:rsid w:val="634427DF"/>
    <w:rsid w:val="63465DFC"/>
    <w:rsid w:val="67341CB7"/>
    <w:rsid w:val="6A553BF7"/>
    <w:rsid w:val="6AFF58DA"/>
    <w:rsid w:val="6BD66B78"/>
    <w:rsid w:val="70761AE3"/>
    <w:rsid w:val="71B66FA2"/>
    <w:rsid w:val="76C54EBD"/>
    <w:rsid w:val="78EC6F36"/>
    <w:rsid w:val="79853F6B"/>
    <w:rsid w:val="7BA4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paragraph" w:styleId="3">
    <w:name w:val="heading 1"/>
    <w:basedOn w:val="1"/>
    <w:next w:val="2"/>
    <w:qFormat/>
    <w:uiPriority w:val="0"/>
    <w:pPr>
      <w:snapToGrid w:val="0"/>
      <w:spacing w:before="0" w:beforeAutospacing="0" w:after="0" w:afterAutospacing="0" w:line="600" w:lineRule="exact"/>
      <w:ind w:firstLine="0" w:firstLineChars="0"/>
      <w:jc w:val="center"/>
      <w:outlineLvl w:val="0"/>
    </w:pPr>
    <w:rPr>
      <w:rFonts w:hint="eastAsia" w:ascii="Times New Roman" w:hAnsi="Times New Roman" w:eastAsia="方正小标宋简体" w:cstheme="minorBidi"/>
      <w:kern w:val="44"/>
      <w:sz w:val="44"/>
      <w:szCs w:val="44"/>
      <w:lang w:bidi="ar"/>
    </w:rPr>
  </w:style>
  <w:style w:type="paragraph" w:styleId="4">
    <w:name w:val="heading 2"/>
    <w:basedOn w:val="1"/>
    <w:next w:val="2"/>
    <w:semiHidden/>
    <w:unhideWhenUsed/>
    <w:qFormat/>
    <w:uiPriority w:val="0"/>
    <w:pPr>
      <w:spacing w:before="0" w:beforeAutospacing="0" w:after="0" w:afterAutospacing="0"/>
      <w:ind w:firstLine="880" w:firstLineChars="200"/>
      <w:jc w:val="both"/>
      <w:outlineLvl w:val="1"/>
    </w:pPr>
    <w:rPr>
      <w:rFonts w:hint="eastAsia" w:ascii="Times New Roman" w:hAnsi="Times New Roman" w:eastAsia="方正黑体简体" w:cs="Times New Roman"/>
      <w:kern w:val="0"/>
      <w:sz w:val="32"/>
      <w:szCs w:val="32"/>
      <w:lang w:bidi="ar"/>
    </w:rPr>
  </w:style>
  <w:style w:type="paragraph" w:styleId="5">
    <w:name w:val="heading 3"/>
    <w:basedOn w:val="1"/>
    <w:next w:val="2"/>
    <w:link w:val="15"/>
    <w:semiHidden/>
    <w:unhideWhenUsed/>
    <w:qFormat/>
    <w:uiPriority w:val="0"/>
    <w:pPr>
      <w:keepNext w:val="0"/>
      <w:keepLines w:val="0"/>
      <w:spacing w:beforeLines="0" w:beforeAutospacing="0" w:afterLines="0" w:afterAutospacing="0" w:line="600" w:lineRule="exact"/>
      <w:ind w:firstLine="640" w:firstLineChars="200"/>
      <w:outlineLvl w:val="2"/>
    </w:pPr>
    <w:rPr>
      <w:rFonts w:eastAsia="方正楷体简体"/>
      <w:lang w:eastAsia="en-US"/>
    </w:rPr>
  </w:style>
  <w:style w:type="paragraph" w:styleId="6">
    <w:name w:val="heading 4"/>
    <w:basedOn w:val="1"/>
    <w:next w:val="2"/>
    <w:semiHidden/>
    <w:unhideWhenUsed/>
    <w:qFormat/>
    <w:uiPriority w:val="0"/>
    <w:pPr>
      <w:keepNext/>
      <w:keepLines/>
      <w:spacing w:beforeLines="0" w:beforeAutospacing="0" w:afterLines="0" w:afterAutospacing="0" w:line="600" w:lineRule="exact"/>
      <w:ind w:firstLine="640" w:firstLineChars="200"/>
      <w:outlineLvl w:val="3"/>
    </w:pPr>
    <w:rPr>
      <w:rFonts w:ascii="Times New Roman" w:hAnsi="Times New Roman" w:eastAsia="方正仿宋简体"/>
      <w:b/>
      <w:lang w:eastAsia="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link w:val="14"/>
    <w:qFormat/>
    <w:uiPriority w:val="0"/>
    <w:pPr>
      <w:widowControl w:val="0"/>
      <w:spacing w:afterLines="0" w:afterAutospacing="0" w:line="600" w:lineRule="exact"/>
      <w:ind w:firstLine="640" w:firstLineChars="200"/>
      <w:jc w:val="both"/>
    </w:pPr>
    <w:rPr>
      <w:rFonts w:ascii="Times New Roman" w:hAnsi="Times New Roman" w:cs="Times New Roman"/>
    </w:rPr>
  </w:style>
  <w:style w:type="paragraph" w:styleId="7">
    <w:name w:val="footer"/>
    <w:basedOn w:val="1"/>
    <w:qFormat/>
    <w:uiPriority w:val="0"/>
    <w:pPr>
      <w:tabs>
        <w:tab w:val="center" w:pos="4153"/>
        <w:tab w:val="right" w:pos="8306"/>
      </w:tabs>
      <w:snapToGrid w:val="0"/>
      <w:ind w:firstLine="0" w:firstLineChars="0"/>
      <w:jc w:val="left"/>
    </w:pPr>
    <w:rPr>
      <w:rFonts w:eastAsia="方正仿宋简体" w:cs="Times New Roman"/>
      <w:sz w:val="28"/>
      <w:szCs w:val="2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tabs>
        <w:tab w:val="right" w:leader="dot" w:pos="9214"/>
      </w:tabs>
      <w:spacing w:line="600" w:lineRule="exact"/>
      <w:ind w:right="-28" w:rightChars="-9"/>
    </w:pPr>
    <w:rPr>
      <w:lang w:eastAsia="zh-CN"/>
    </w:rPr>
  </w:style>
  <w:style w:type="paragraph" w:styleId="10">
    <w:name w:val="Subtitle"/>
    <w:basedOn w:val="1"/>
    <w:next w:val="2"/>
    <w:qFormat/>
    <w:uiPriority w:val="0"/>
    <w:pPr>
      <w:spacing w:beforeLines="0" w:beforeAutospacing="0" w:afterLines="0" w:afterAutospacing="0" w:line="600" w:lineRule="exact"/>
      <w:jc w:val="center"/>
      <w:outlineLvl w:val="1"/>
    </w:pPr>
    <w:rPr>
      <w:rFonts w:eastAsia="方正楷体简体"/>
      <w:kern w:val="28"/>
      <w:lang w:eastAsia="en-US"/>
    </w:rPr>
  </w:style>
  <w:style w:type="paragraph" w:styleId="11">
    <w:name w:val="Title"/>
    <w:basedOn w:val="3"/>
    <w:next w:val="1"/>
    <w:qFormat/>
    <w:uiPriority w:val="0"/>
    <w:pPr>
      <w:widowControl w:val="0"/>
      <w:spacing w:beforeLines="0" w:beforeAutospacing="0" w:afterLines="0" w:afterAutospacing="0" w:line="600" w:lineRule="exact"/>
      <w:ind w:firstLine="0" w:firstLineChars="0"/>
      <w:jc w:val="center"/>
      <w:outlineLvl w:val="0"/>
    </w:pPr>
    <w:rPr>
      <w:color w:val="auto"/>
      <w:kern w:val="2"/>
      <w:lang w:bidi="ar-SA"/>
    </w:rPr>
  </w:style>
  <w:style w:type="character" w:customStyle="1" w:styleId="14">
    <w:name w:val="正文文本 Char1"/>
    <w:link w:val="2"/>
    <w:qFormat/>
    <w:uiPriority w:val="0"/>
    <w:rPr>
      <w:rFonts w:ascii="Times New Roman" w:hAnsi="Times New Roman" w:eastAsia="方正仿宋简体" w:cs="Times New Roman"/>
      <w:szCs w:val="32"/>
    </w:rPr>
  </w:style>
  <w:style w:type="character" w:customStyle="1" w:styleId="15">
    <w:name w:val="标题 3 Char"/>
    <w:link w:val="5"/>
    <w:qFormat/>
    <w:uiPriority w:val="0"/>
    <w:rPr>
      <w:rFonts w:ascii="Times New Roman" w:hAnsi="Times New Roman" w:eastAsia="方正楷体简体"/>
      <w:lang w:eastAsia="en-US"/>
    </w:rPr>
  </w:style>
  <w:style w:type="paragraph" w:customStyle="1" w:styleId="16">
    <w:name w:val="普通 (Web)"/>
    <w:basedOn w:val="1"/>
    <w:qFormat/>
    <w:uiPriority w:val="0"/>
    <w:pPr>
      <w:widowControl/>
      <w:spacing w:before="102" w:after="102" w:line="600" w:lineRule="atLeast"/>
      <w:ind w:firstLine="419"/>
      <w:jc w:val="left"/>
      <w:textAlignment w:val="baseline"/>
    </w:pPr>
    <w:rPr>
      <w:rFonts w:ascii="宋体"/>
      <w:color w:val="000000"/>
      <w:kern w:val="0"/>
      <w:sz w:val="24"/>
      <w:szCs w:val="20"/>
    </w:rPr>
  </w:style>
  <w:style w:type="character" w:customStyle="1" w:styleId="17">
    <w:name w:val="font81"/>
    <w:basedOn w:val="13"/>
    <w:qFormat/>
    <w:uiPriority w:val="0"/>
    <w:rPr>
      <w:rFonts w:hint="eastAsia" w:ascii="宋体" w:hAnsi="宋体" w:eastAsia="宋体" w:cs="宋体"/>
      <w:color w:val="000000"/>
      <w:sz w:val="24"/>
      <w:szCs w:val="24"/>
      <w:u w:val="none"/>
    </w:rPr>
  </w:style>
  <w:style w:type="character" w:customStyle="1" w:styleId="18">
    <w:name w:val="font61"/>
    <w:basedOn w:val="13"/>
    <w:qFormat/>
    <w:uiPriority w:val="0"/>
    <w:rPr>
      <w:rFonts w:hint="default" w:ascii="Times New Roman" w:hAnsi="Times New Roman" w:cs="Times New Roman"/>
      <w:color w:val="000000"/>
      <w:sz w:val="24"/>
      <w:szCs w:val="24"/>
      <w:u w:val="none"/>
    </w:rPr>
  </w:style>
  <w:style w:type="character" w:customStyle="1" w:styleId="19">
    <w:name w:val="font9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2590</Words>
  <Characters>2887</Characters>
  <Lines>0</Lines>
  <Paragraphs>0</Paragraphs>
  <TotalTime>1</TotalTime>
  <ScaleCrop>false</ScaleCrop>
  <LinksUpToDate>false</LinksUpToDate>
  <CharactersWithSpaces>2889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2023-04-12T09:59:00Z</dcterms:created>
  <dc:creator>ljx</dc:creator>
  <cp:lastModifiedBy>ljx</cp:lastModifiedBy>
  <dcterms:modified xsi:type="dcterms:W3CDTF">2023-04-12T10:02:01Z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4FF0D32CCD924026A3EA84A753677A6B_11</vt:lpwstr>
  </property>
</Properties>
</file>