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rPr>
      </w:pPr>
      <w:r>
        <w:rPr>
          <w:rFonts w:hint="eastAsia" w:ascii="仿宋" w:hAnsi="仿宋" w:eastAsia="仿宋" w:cs="仿宋"/>
          <w:b/>
          <w:bCs/>
          <w:sz w:val="52"/>
          <w:szCs w:val="52"/>
        </w:rPr>
        <w:t>关于约定仲裁庭组成方式及</w:t>
      </w:r>
    </w:p>
    <w:p>
      <w:pPr>
        <w:jc w:val="center"/>
        <w:rPr>
          <w:rFonts w:hint="eastAsia" w:ascii="仿宋" w:hAnsi="仿宋" w:eastAsia="仿宋" w:cs="仿宋"/>
          <w:b/>
          <w:bCs/>
          <w:sz w:val="52"/>
          <w:szCs w:val="52"/>
        </w:rPr>
      </w:pPr>
      <w:r>
        <w:rPr>
          <w:rFonts w:hint="eastAsia" w:ascii="仿宋" w:hAnsi="仿宋" w:eastAsia="仿宋" w:cs="仿宋"/>
          <w:b/>
          <w:bCs/>
          <w:sz w:val="52"/>
          <w:szCs w:val="52"/>
        </w:rPr>
        <w:t>选定仲裁员的函</w:t>
      </w:r>
    </w:p>
    <w:p>
      <w:pPr>
        <w:jc w:val="center"/>
        <w:rPr>
          <w:rFonts w:hint="eastAsia" w:ascii="仿宋" w:hAnsi="仿宋" w:eastAsia="仿宋" w:cs="仿宋"/>
          <w:sz w:val="32"/>
          <w:szCs w:val="32"/>
        </w:rPr>
      </w:pPr>
      <w:r>
        <w:rPr>
          <w:rFonts w:hint="eastAsia" w:ascii="仿宋" w:hAnsi="仿宋" w:eastAsia="仿宋" w:cs="仿宋"/>
          <w:sz w:val="32"/>
          <w:szCs w:val="32"/>
        </w:rPr>
        <w:t>（简易程序使用）</w:t>
      </w:r>
      <w:bookmarkStart w:id="0" w:name="书签，简易，申请人用"/>
      <w:bookmarkEnd w:id="0"/>
    </w:p>
    <w:p>
      <w:pPr>
        <w:rPr>
          <w:rFonts w:hint="eastAsia"/>
          <w:szCs w:val="21"/>
        </w:rPr>
      </w:pPr>
    </w:p>
    <w:p>
      <w:pPr>
        <w:rPr>
          <w:rFonts w:hint="eastAsia"/>
          <w:szCs w:val="21"/>
        </w:rPr>
      </w:pPr>
    </w:p>
    <w:p>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汕头仲裁委员会</w:t>
      </w:r>
      <w:r>
        <w:rPr>
          <w:rFonts w:hint="eastAsia" w:ascii="仿宋_GB2312" w:hAnsi="仿宋_GB2312" w:eastAsia="仿宋_GB2312" w:cs="仿宋_GB2312"/>
          <w:sz w:val="30"/>
          <w:szCs w:val="30"/>
        </w:rPr>
        <w:t>：</w:t>
      </w:r>
    </w:p>
    <w:p>
      <w:pPr>
        <w:spacing w:line="50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关于</w:t>
      </w:r>
      <w:r>
        <w:rPr>
          <w:rFonts w:hint="eastAsia" w:ascii="仿宋_GB2312" w:hAnsi="仿宋_GB2312" w:eastAsia="仿宋_GB2312" w:cs="仿宋_GB2312"/>
          <w:sz w:val="30"/>
          <w:szCs w:val="30"/>
          <w:lang w:eastAsia="zh-CN"/>
        </w:rPr>
        <w:t>申请人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与</w:t>
      </w:r>
      <w:r>
        <w:rPr>
          <w:rFonts w:hint="eastAsia" w:ascii="仿宋_GB2312" w:hAnsi="仿宋_GB2312" w:eastAsia="仿宋_GB2312" w:cs="仿宋_GB2312"/>
          <w:sz w:val="30"/>
          <w:szCs w:val="30"/>
          <w:lang w:eastAsia="zh-CN"/>
        </w:rPr>
        <w:t>被申请人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之间因</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引起的争议仲裁案[案件编号为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）汕仲案字</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号]，根据《中华人民共和国仲裁法》第三十一条和《汕头仲裁委员会仲裁规则》的相关规定，</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  ）我方在汕头仲裁委员会《仲裁员名册》中选定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为独任仲裁员。</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  ）我方委托仲裁委员会主任指定独任仲裁员。</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特此函告。</w:t>
      </w:r>
    </w:p>
    <w:p>
      <w:pPr>
        <w:spacing w:line="500" w:lineRule="exact"/>
        <w:rPr>
          <w:rFonts w:hint="eastAsia" w:ascii="仿宋_GB2312" w:hAnsi="仿宋_GB2312" w:eastAsia="仿宋_GB2312" w:cs="仿宋_GB2312"/>
          <w:sz w:val="30"/>
          <w:szCs w:val="30"/>
        </w:rPr>
      </w:pP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申请人/被申请人：</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spacing w:line="0" w:lineRule="atLeast"/>
        <w:rPr>
          <w:rFonts w:hint="eastAsia" w:ascii="仿宋" w:hAnsi="仿宋" w:eastAsia="仿宋" w:cs="仿宋"/>
          <w:sz w:val="24"/>
        </w:rPr>
      </w:pPr>
    </w:p>
    <w:p>
      <w:pPr>
        <w:spacing w:line="0" w:lineRule="atLeast"/>
        <w:rPr>
          <w:rFonts w:hint="eastAsia" w:ascii="仿宋" w:hAnsi="仿宋" w:eastAsia="仿宋" w:cs="仿宋"/>
          <w:sz w:val="24"/>
        </w:rPr>
      </w:pPr>
      <w:r>
        <w:rPr>
          <w:rFonts w:hint="eastAsia" w:ascii="仿宋" w:hAnsi="仿宋" w:eastAsia="仿宋" w:cs="仿宋"/>
          <w:sz w:val="24"/>
        </w:rPr>
        <w:t xml:space="preserve">    注：</w:t>
      </w:r>
    </w:p>
    <w:p>
      <w:pPr>
        <w:spacing w:line="0" w:lineRule="atLeast"/>
        <w:ind w:firstLine="480"/>
        <w:rPr>
          <w:rFonts w:hint="eastAsia" w:ascii="仿宋" w:hAnsi="仿宋" w:eastAsia="仿宋" w:cs="仿宋"/>
          <w:sz w:val="24"/>
        </w:rPr>
      </w:pPr>
      <w:r>
        <w:rPr>
          <w:rFonts w:hint="eastAsia" w:ascii="仿宋" w:hAnsi="仿宋" w:eastAsia="仿宋" w:cs="仿宋"/>
          <w:sz w:val="24"/>
        </w:rPr>
        <w:t>1、除非双方当事人另有约定，凡案件争议金额不超过50万元人民币的，适用简易程序，由独任仲裁员审理。</w:t>
      </w:r>
    </w:p>
    <w:p>
      <w:pPr>
        <w:spacing w:line="0" w:lineRule="atLeast"/>
        <w:ind w:firstLine="480"/>
        <w:rPr>
          <w:rFonts w:hint="eastAsia" w:ascii="仿宋" w:hAnsi="仿宋" w:eastAsia="仿宋" w:cs="仿宋"/>
          <w:sz w:val="24"/>
        </w:rPr>
      </w:pPr>
      <w:r>
        <w:rPr>
          <w:rFonts w:hint="eastAsia" w:ascii="仿宋" w:hAnsi="仿宋" w:eastAsia="仿宋" w:cs="仿宋"/>
          <w:sz w:val="24"/>
        </w:rPr>
        <w:t>凡案件争议金额不超过50万元人民币的，双方当事人约定适用普通程序的，承担由此增加的仲裁费用。</w:t>
      </w:r>
    </w:p>
    <w:p>
      <w:pPr>
        <w:spacing w:line="0" w:lineRule="atLeast"/>
        <w:rPr>
          <w:rFonts w:hint="eastAsia" w:ascii="仿宋" w:hAnsi="仿宋" w:eastAsia="仿宋" w:cs="仿宋"/>
          <w:sz w:val="24"/>
        </w:rPr>
      </w:pPr>
      <w:r>
        <w:rPr>
          <w:rFonts w:hint="eastAsia" w:ascii="仿宋" w:hAnsi="仿宋" w:eastAsia="仿宋" w:cs="仿宋"/>
          <w:sz w:val="24"/>
        </w:rPr>
        <w:t xml:space="preserve">    2、上述自行选定仲裁员和委托仲裁委员会主任指定仲裁员两种方式当事人只能选择其中一种。</w:t>
      </w:r>
    </w:p>
    <w:p>
      <w:pPr>
        <w:spacing w:line="0" w:lineRule="atLeast"/>
        <w:rPr>
          <w:rFonts w:hint="eastAsia" w:ascii="仿宋" w:hAnsi="仿宋" w:eastAsia="仿宋" w:cs="仿宋"/>
          <w:sz w:val="24"/>
        </w:rPr>
      </w:pPr>
      <w:r>
        <w:rPr>
          <w:rFonts w:hint="eastAsia" w:ascii="仿宋" w:hAnsi="仿宋" w:eastAsia="仿宋" w:cs="仿宋"/>
          <w:sz w:val="24"/>
        </w:rPr>
        <w:t xml:space="preserve">    3、请在相应的选择项前的括号内打“√”确认。</w:t>
      </w:r>
    </w:p>
    <w:p>
      <w:pPr>
        <w:spacing w:line="0" w:lineRule="atLeast"/>
        <w:rPr>
          <w:rFonts w:hint="eastAsia" w:ascii="仿宋" w:hAnsi="仿宋" w:eastAsia="仿宋" w:cs="仿宋"/>
          <w:sz w:val="24"/>
        </w:rPr>
      </w:pPr>
      <w:r>
        <w:rPr>
          <w:rFonts w:hint="eastAsia" w:ascii="仿宋" w:hAnsi="仿宋" w:eastAsia="仿宋" w:cs="仿宋"/>
          <w:sz w:val="24"/>
        </w:rPr>
        <w:t xml:space="preserve">    4、本格式仅供当事人参照使用，当事人可另行书写。如使用本格式，则需按要求填写，否则致使表意不清的视为放弃约定仲裁庭</w:t>
      </w:r>
      <w:bookmarkStart w:id="2" w:name="_GoBack"/>
      <w:bookmarkEnd w:id="2"/>
      <w:r>
        <w:rPr>
          <w:rFonts w:hint="eastAsia" w:ascii="仿宋" w:hAnsi="仿宋" w:eastAsia="仿宋" w:cs="仿宋"/>
          <w:sz w:val="24"/>
        </w:rPr>
        <w:t>组成方式及选定仲裁员的权利。</w:t>
      </w:r>
    </w:p>
    <w:p>
      <w:r>
        <w:br w:type="page"/>
      </w:r>
    </w:p>
    <w:p>
      <w:pPr>
        <w:jc w:val="center"/>
        <w:rPr>
          <w:rFonts w:hint="eastAsia" w:ascii="仿宋" w:hAnsi="仿宋" w:eastAsia="仿宋" w:cs="仿宋"/>
          <w:b/>
          <w:bCs/>
          <w:sz w:val="52"/>
          <w:szCs w:val="52"/>
        </w:rPr>
      </w:pPr>
      <w:r>
        <w:rPr>
          <w:rFonts w:hint="eastAsia" w:ascii="仿宋" w:hAnsi="仿宋" w:eastAsia="仿宋" w:cs="仿宋"/>
          <w:b/>
          <w:bCs/>
          <w:sz w:val="52"/>
          <w:szCs w:val="52"/>
        </w:rPr>
        <w:t>关于约定仲裁庭组成方式及</w:t>
      </w:r>
    </w:p>
    <w:p>
      <w:pPr>
        <w:jc w:val="center"/>
        <w:rPr>
          <w:rFonts w:hint="eastAsia" w:ascii="仿宋" w:hAnsi="仿宋" w:eastAsia="仿宋" w:cs="仿宋"/>
          <w:b/>
          <w:bCs/>
          <w:sz w:val="52"/>
          <w:szCs w:val="52"/>
        </w:rPr>
      </w:pPr>
      <w:r>
        <w:rPr>
          <w:rFonts w:hint="eastAsia" w:ascii="仿宋" w:hAnsi="仿宋" w:eastAsia="仿宋" w:cs="仿宋"/>
          <w:b/>
          <w:bCs/>
          <w:sz w:val="52"/>
          <w:szCs w:val="52"/>
        </w:rPr>
        <w:t>选定仲裁员的函</w:t>
      </w:r>
    </w:p>
    <w:p>
      <w:pPr>
        <w:jc w:val="center"/>
        <w:rPr>
          <w:rFonts w:hint="eastAsia" w:ascii="仿宋" w:hAnsi="仿宋" w:eastAsia="仿宋" w:cs="仿宋"/>
          <w:sz w:val="32"/>
          <w:szCs w:val="32"/>
        </w:rPr>
      </w:pPr>
      <w:r>
        <w:rPr>
          <w:rFonts w:hint="eastAsia" w:ascii="仿宋" w:hAnsi="仿宋" w:eastAsia="仿宋" w:cs="仿宋"/>
          <w:sz w:val="32"/>
          <w:szCs w:val="32"/>
        </w:rPr>
        <w:t>（普通</w:t>
      </w:r>
      <w:r>
        <w:rPr>
          <w:rFonts w:hint="eastAsia" w:ascii="仿宋" w:hAnsi="仿宋" w:eastAsia="仿宋" w:cs="仿宋"/>
          <w:sz w:val="32"/>
          <w:szCs w:val="32"/>
          <w:lang w:eastAsia="zh-CN"/>
        </w:rPr>
        <w:t>程序、涉外</w:t>
      </w:r>
      <w:r>
        <w:rPr>
          <w:rFonts w:hint="eastAsia" w:ascii="仿宋" w:hAnsi="仿宋" w:eastAsia="仿宋" w:cs="仿宋"/>
          <w:sz w:val="32"/>
          <w:szCs w:val="32"/>
        </w:rPr>
        <w:t>程序使用）</w:t>
      </w:r>
      <w:bookmarkStart w:id="1" w:name="书签，普通，申请人用"/>
      <w:bookmarkEnd w:id="1"/>
    </w:p>
    <w:p>
      <w:pPr>
        <w:rPr>
          <w:rFonts w:hint="eastAsia" w:ascii="仿宋" w:hAnsi="仿宋" w:eastAsia="仿宋" w:cs="仿宋"/>
          <w:szCs w:val="21"/>
        </w:rPr>
      </w:pPr>
    </w:p>
    <w:p>
      <w:pP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汕头仲裁委员会</w:t>
      </w:r>
      <w:r>
        <w:rPr>
          <w:rFonts w:hint="eastAsia" w:ascii="仿宋_GB2312" w:hAnsi="仿宋_GB2312" w:eastAsia="仿宋_GB2312" w:cs="仿宋_GB2312"/>
          <w:sz w:val="30"/>
          <w:szCs w:val="30"/>
        </w:rPr>
        <w:t>：</w:t>
      </w:r>
    </w:p>
    <w:p>
      <w:pPr>
        <w:wordWrap w:val="0"/>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关于</w:t>
      </w:r>
      <w:r>
        <w:rPr>
          <w:rFonts w:hint="eastAsia" w:ascii="仿宋_GB2312" w:hAnsi="仿宋_GB2312" w:eastAsia="仿宋_GB2312" w:cs="仿宋_GB2312"/>
          <w:sz w:val="30"/>
          <w:szCs w:val="30"/>
          <w:lang w:eastAsia="zh-CN"/>
        </w:rPr>
        <w:t>申请人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与</w:t>
      </w:r>
      <w:r>
        <w:rPr>
          <w:rFonts w:hint="eastAsia" w:ascii="仿宋_GB2312" w:hAnsi="仿宋_GB2312" w:eastAsia="仿宋_GB2312" w:cs="仿宋_GB2312"/>
          <w:sz w:val="30"/>
          <w:szCs w:val="30"/>
          <w:lang w:eastAsia="zh-CN"/>
        </w:rPr>
        <w:t>被申请人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之间因</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引起的争议仲裁案[案件编号为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）汕仲案字</w:t>
      </w: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号]，根据《中华人民共和国仲裁法》第三十一条和《汕头仲裁委员会仲裁规则》的相关规定， </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  ）我方在汕头仲裁委员会《仲裁员名册》中选定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为仲裁员。</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  ）我方委托仲裁委员会主任指定仲裁员。</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  ）我方在汕头仲裁委员会《仲裁员名册》中选定</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为首席仲裁员。</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  ）我方委托仲裁委员会主任指定首席仲裁员。</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特此函告。</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申请人/被申请人：</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委托代理人：</w:t>
      </w:r>
    </w:p>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spacing w:line="0" w:lineRule="atLeast"/>
        <w:rPr>
          <w:rFonts w:hint="eastAsia" w:ascii="仿宋" w:hAnsi="仿宋" w:eastAsia="仿宋" w:cs="仿宋"/>
          <w:sz w:val="24"/>
        </w:rPr>
      </w:pPr>
      <w:r>
        <w:rPr>
          <w:rFonts w:hint="eastAsia" w:ascii="仿宋" w:hAnsi="仿宋" w:eastAsia="仿宋" w:cs="仿宋"/>
          <w:sz w:val="24"/>
        </w:rPr>
        <w:t xml:space="preserve">    注：</w:t>
      </w:r>
    </w:p>
    <w:p>
      <w:pPr>
        <w:spacing w:line="0" w:lineRule="atLeast"/>
        <w:rPr>
          <w:rFonts w:hint="eastAsia" w:ascii="仿宋" w:hAnsi="仿宋" w:eastAsia="仿宋" w:cs="仿宋"/>
          <w:sz w:val="24"/>
        </w:rPr>
      </w:pPr>
      <w:r>
        <w:rPr>
          <w:rFonts w:hint="eastAsia" w:ascii="仿宋" w:hAnsi="仿宋" w:eastAsia="仿宋" w:cs="仿宋"/>
          <w:sz w:val="24"/>
        </w:rPr>
        <w:t xml:space="preserve">    1、除非双方当事人另有约定，凡案件争议金额超过50万元人民币的，适用普通程序，由三名仲裁员共同审理。</w:t>
      </w:r>
    </w:p>
    <w:p>
      <w:pPr>
        <w:spacing w:line="0" w:lineRule="atLeast"/>
        <w:rPr>
          <w:rFonts w:hint="eastAsia" w:ascii="仿宋" w:hAnsi="仿宋" w:eastAsia="仿宋" w:cs="仿宋"/>
          <w:sz w:val="24"/>
        </w:rPr>
      </w:pPr>
      <w:r>
        <w:rPr>
          <w:rFonts w:hint="eastAsia" w:ascii="仿宋" w:hAnsi="仿宋" w:eastAsia="仿宋" w:cs="仿宋"/>
          <w:sz w:val="24"/>
        </w:rPr>
        <w:t xml:space="preserve">    2、上述1、2两项中自行选定仲裁员和委托仲裁委员会主任指定仲裁员两种方式当事人只能选择其中一种。</w:t>
      </w:r>
    </w:p>
    <w:p>
      <w:pPr>
        <w:spacing w:line="0" w:lineRule="atLeast"/>
        <w:rPr>
          <w:rFonts w:hint="eastAsia" w:ascii="仿宋" w:hAnsi="仿宋" w:eastAsia="仿宋" w:cs="仿宋"/>
          <w:sz w:val="24"/>
        </w:rPr>
      </w:pPr>
      <w:r>
        <w:rPr>
          <w:rFonts w:hint="eastAsia" w:ascii="仿宋" w:hAnsi="仿宋" w:eastAsia="仿宋" w:cs="仿宋"/>
          <w:sz w:val="24"/>
        </w:rPr>
        <w:t xml:space="preserve">    3、请在相应的选择项前的括号内打“√”确认。</w:t>
      </w:r>
    </w:p>
    <w:p>
      <w:pPr>
        <w:spacing w:line="0" w:lineRule="atLeast"/>
      </w:pPr>
      <w:r>
        <w:rPr>
          <w:rFonts w:hint="eastAsia" w:ascii="仿宋" w:hAnsi="仿宋" w:eastAsia="仿宋" w:cs="仿宋"/>
          <w:sz w:val="24"/>
        </w:rPr>
        <w:t xml:space="preserve">    4、本格式仅供当事人参照使用，当事人可另行书写。如使用本格式，则需按要求填写，否则致使表意不清的视为放弃约定仲裁庭组成方式及选定仲裁员的权利。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ODEwNDVkODVlYjgwNTI0NTY2MDhjYjE1ZmY0OGYifQ=="/>
  </w:docVars>
  <w:rsids>
    <w:rsidRoot w:val="2B212645"/>
    <w:rsid w:val="26081929"/>
    <w:rsid w:val="2B212645"/>
    <w:rsid w:val="4B7D7D7D"/>
    <w:rsid w:val="7226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846</Words>
  <Characters>849</Characters>
  <Lines>0</Lines>
  <Paragraphs>0</Paragraphs>
  <TotalTime>0</TotalTime>
  <ScaleCrop>false</ScaleCrop>
  <LinksUpToDate>false</LinksUpToDate>
  <CharactersWithSpaces>1196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2021-05-06T01:28:00Z</dcterms:created>
  <dc:creator>huahuawps</dc:creator>
  <cp:lastModifiedBy>huahuawps</cp:lastModifiedBy>
  <dcterms:modified xsi:type="dcterms:W3CDTF">2022-05-06T07:16:20Z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A81C28B0CB574ACF9AA4800114B3F0A7</vt:lpwstr>
  </property>
</Properties>
</file>