
<file path=[Content_Types].xml><?xml version="1.0" encoding="utf-8"?>
<Types xmlns="http://schemas.openxmlformats.org/package/2006/content-types">
  <Default Extension="png" ContentType="image/png"/>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720" w:firstLineChars="200"/>
        <w:jc w:val="center"/>
        <w:rPr>
          <w:rFonts w:ascii="黑体" w:hAnsi="黑体" w:eastAsia="黑体"/>
          <w:sz w:val="36"/>
          <w:szCs w:val="36"/>
        </w:rPr>
      </w:pPr>
      <w:r>
        <w:rPr>
          <w:rFonts w:hint="eastAsia" w:ascii="黑体" w:hAnsi="黑体" w:eastAsia="黑体"/>
          <w:sz w:val="36"/>
          <w:szCs w:val="36"/>
        </w:rPr>
        <w:t>《</w:t>
      </w:r>
      <w:r>
        <w:rPr>
          <w:rFonts w:hint="eastAsia" w:ascii="黑体" w:hAnsi="黑体" w:eastAsia="黑体"/>
          <w:sz w:val="36"/>
          <w:szCs w:val="36"/>
          <w:lang w:val="en-US" w:eastAsia="zh-CN"/>
        </w:rPr>
        <w:t>赤嘴鳘鱼胶加工技术规程</w:t>
      </w:r>
      <w:r>
        <w:rPr>
          <w:rFonts w:hint="eastAsia" w:ascii="黑体" w:hAnsi="黑体" w:eastAsia="黑体"/>
          <w:sz w:val="36"/>
          <w:szCs w:val="36"/>
        </w:rPr>
        <w:t>》编制说明</w:t>
      </w:r>
    </w:p>
    <w:p>
      <w:pPr>
        <w:spacing w:line="520" w:lineRule="exact"/>
        <w:ind w:firstLine="640" w:firstLineChars="200"/>
        <w:rPr>
          <w:rFonts w:asciiTheme="majorEastAsia" w:hAnsiTheme="majorEastAsia" w:eastAsiaTheme="majorEastAsia"/>
          <w:sz w:val="32"/>
          <w:szCs w:val="32"/>
        </w:rPr>
      </w:pPr>
    </w:p>
    <w:p>
      <w:pPr>
        <w:spacing w:line="520" w:lineRule="exact"/>
        <w:ind w:firstLine="640" w:firstLineChars="200"/>
        <w:rPr>
          <w:rFonts w:ascii="楷体" w:hAnsi="楷体" w:eastAsia="楷体"/>
          <w:sz w:val="32"/>
          <w:szCs w:val="32"/>
        </w:rPr>
      </w:pPr>
      <w:r>
        <w:rPr>
          <w:rFonts w:hint="eastAsia" w:ascii="楷体" w:hAnsi="楷体" w:eastAsia="楷体"/>
          <w:sz w:val="32"/>
          <w:szCs w:val="32"/>
        </w:rPr>
        <w:t>一、项目的目的和意义</w:t>
      </w:r>
    </w:p>
    <w:p>
      <w:pPr>
        <w:adjustRightInd w:val="0"/>
        <w:snapToGrid w:val="0"/>
        <w:spacing w:line="52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鱼胶（鱼鳔干制品），与燕窝、鱼翅齐名，是“海味八珍”之一，素有“海洋人参”之誉，是我国重要的传统营养保健食品。潮汕地区具有悠久的鱼胶食补文化，也是我国重要的鱼胶贸易市场。随着人们生活水平的提高，鱼胶市场需求日益旺盛，产业规模逐年增大，推动了我市鱼胶相关产业链（养殖、加工等）的发展。</w:t>
      </w:r>
    </w:p>
    <w:p>
      <w:pPr>
        <w:adjustRightInd w:val="0"/>
        <w:snapToGrid w:val="0"/>
        <w:spacing w:line="52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赤嘴鳘鱼胶，来源于双棘</w:t>
      </w:r>
      <w:r>
        <w:rPr>
          <w:rFonts w:hint="eastAsia" w:ascii="仿宋_GB2312" w:hAnsi="宋体" w:eastAsia="仿宋_GB2312" w:cs="宋体"/>
          <w:sz w:val="32"/>
          <w:szCs w:val="32"/>
          <w:lang w:val="en-US" w:eastAsia="zh-CN"/>
        </w:rPr>
        <w:t>原</w:t>
      </w:r>
      <w:r>
        <w:rPr>
          <w:rFonts w:hint="eastAsia" w:ascii="仿宋_GB2312" w:hAnsi="宋体" w:eastAsia="仿宋_GB2312" w:cs="宋体"/>
          <w:sz w:val="32"/>
          <w:szCs w:val="32"/>
        </w:rPr>
        <w:t>黄姑鱼或褐毛鲿的鱼鳔，是除“金钱鳘鱼胶、房胶、蜘蛛胶、白花胶”四大名胶外，最为高档的鱼胶品种，在市场上具有较高的认可度。20世纪90年代，双棘</w:t>
      </w:r>
      <w:r>
        <w:rPr>
          <w:rFonts w:hint="eastAsia" w:ascii="仿宋_GB2312" w:hAnsi="宋体" w:eastAsia="仿宋_GB2312" w:cs="宋体"/>
          <w:sz w:val="32"/>
          <w:szCs w:val="32"/>
          <w:lang w:val="en-US" w:eastAsia="zh-CN"/>
        </w:rPr>
        <w:t>原</w:t>
      </w:r>
      <w:r>
        <w:rPr>
          <w:rFonts w:hint="eastAsia" w:ascii="仿宋_GB2312" w:hAnsi="宋体" w:eastAsia="仿宋_GB2312" w:cs="宋体"/>
          <w:sz w:val="32"/>
          <w:szCs w:val="32"/>
        </w:rPr>
        <w:t>黄姑鱼海水网箱养殖在福建、广东沿海地区兴起，由于该鱼生长快、抗逆性强、鱼鳔品质高，深受渔民喜爱。目前，在潮汕地区已形成了一定的养殖规模和地域特色，</w:t>
      </w:r>
      <w:r>
        <w:rPr>
          <w:rFonts w:hint="eastAsia" w:ascii="仿宋_GB2312" w:hAnsi="宋体" w:eastAsia="仿宋_GB2312" w:cs="宋体"/>
          <w:sz w:val="32"/>
          <w:szCs w:val="32"/>
          <w:lang w:val="en-US" w:eastAsia="zh-CN"/>
        </w:rPr>
        <w:t>是国内最大的赤嘴鳘养殖基地（占全国养殖产量70%以上）和赤嘴鳘鱼胶的产地</w:t>
      </w:r>
      <w:r>
        <w:rPr>
          <w:rFonts w:hint="eastAsia" w:ascii="仿宋_GB2312" w:hAnsi="宋体" w:eastAsia="仿宋_GB2312" w:cs="宋体"/>
          <w:sz w:val="32"/>
          <w:szCs w:val="32"/>
        </w:rPr>
        <w:t>。然而，尽管养殖规模不断增加，赤嘴鳘鱼胶的加工方式仍较粗放，以传统手工去脂和日晒为主，多凭借经验进行操作，缺乏标准规范，造成了市场上鱼胶质量参差不齐，阻碍我市鱼胶产业的标准化、规模化进程，不利于打造我市地区品牌特色。</w:t>
      </w:r>
      <w:r>
        <w:rPr>
          <w:rFonts w:hint="eastAsia" w:ascii="仿宋_GB2312" w:hAnsi="宋体" w:eastAsia="仿宋_GB2312" w:cs="宋体"/>
          <w:sz w:val="32"/>
          <w:szCs w:val="32"/>
          <w:lang w:val="en-US" w:eastAsia="zh-CN"/>
        </w:rPr>
        <w:t>因此，</w:t>
      </w:r>
      <w:r>
        <w:rPr>
          <w:rFonts w:hint="eastAsia" w:ascii="仿宋_GB2312" w:hAnsi="宋体" w:eastAsia="仿宋_GB2312" w:cs="宋体"/>
          <w:sz w:val="32"/>
          <w:szCs w:val="32"/>
        </w:rPr>
        <w:t>建立赤嘴鳘鱼胶加工技术</w:t>
      </w:r>
      <w:r>
        <w:rPr>
          <w:rFonts w:hint="eastAsia" w:ascii="仿宋_GB2312" w:hAnsi="宋体" w:eastAsia="仿宋_GB2312" w:cs="宋体"/>
          <w:sz w:val="32"/>
          <w:szCs w:val="32"/>
          <w:lang w:val="en-US" w:eastAsia="zh-CN"/>
        </w:rPr>
        <w:t>规程</w:t>
      </w:r>
      <w:r>
        <w:rPr>
          <w:rFonts w:hint="eastAsia" w:ascii="仿宋_GB2312" w:hAnsi="宋体" w:eastAsia="仿宋_GB2312" w:cs="宋体"/>
          <w:sz w:val="32"/>
          <w:szCs w:val="32"/>
        </w:rPr>
        <w:t>地方标准，可为我市鱼胶产业相关主体（渔民、食品加工企业等）提供技术参考和指导，不仅能够填补相关标准领域空白，也有利于推动我市鱼胶产业标准化进程、助力乡村振兴战略实施及海洋经济的高质量的发展，具有重要的社会和经济效益。</w:t>
      </w:r>
    </w:p>
    <w:p>
      <w:pPr>
        <w:adjustRightInd w:val="0"/>
        <w:snapToGrid w:val="0"/>
        <w:spacing w:line="52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sz w:val="32"/>
          <w:szCs w:val="32"/>
        </w:rPr>
        <w:t>二、</w:t>
      </w:r>
      <w:r>
        <w:rPr>
          <w:rFonts w:hint="eastAsia" w:ascii="楷体" w:hAnsi="楷体" w:eastAsia="楷体"/>
          <w:color w:val="000000" w:themeColor="text1"/>
          <w:sz w:val="32"/>
          <w:szCs w:val="32"/>
          <w14:textFill>
            <w14:solidFill>
              <w14:schemeClr w14:val="tx1"/>
            </w14:solidFill>
          </w14:textFill>
        </w:rPr>
        <w:t>工作情况介绍</w:t>
      </w:r>
    </w:p>
    <w:p>
      <w:pPr>
        <w:spacing w:line="520" w:lineRule="exact"/>
        <w:ind w:firstLine="640" w:firstLineChars="200"/>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根据汕头市市场监督局《关于征集2022年汕头市地方标准制修订计划项目的通告》，2021年10月汕头大学联合汕头市颐膳美食品有限公司提出《赤嘴鳘鱼胶加工技术规程》地方标准制定项目的申请。2022年12月16日本标准制定项目通过立项专家评审会，并于2022年1月11日正式立项。立项以来，由汕头大学、汕头市颐膳美食品有限公司及鱼胶行业相关专家成立了标准起草工作组，划分任务，明确分工，</w:t>
      </w:r>
    </w:p>
    <w:p>
      <w:pPr>
        <w:spacing w:line="520" w:lineRule="exact"/>
        <w:ind w:left="0" w:leftChars="0" w:firstLine="0" w:firstLineChars="0"/>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推进标准制定的相关事宜。</w:t>
      </w:r>
    </w:p>
    <w:p>
      <w:pPr>
        <w:spacing w:line="520" w:lineRule="exact"/>
        <w:ind w:left="0" w:leftChars="0" w:firstLine="640" w:firstLineChars="200"/>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标准起草工作组经过广泛调查研究，认真总结实践经验，并参考国内同类别相关标准和先进技术，对标准初稿进行了补充修改，并于2022年6月份形成了征求意见稿，并向行业相关单位及专家（汕头市水产技术推广中心站、汕头海关技术中心、汕头市鱼胶海味协会、金鲲（广东）生物医药有限公司等）征求意见。工作组对征求意见提出的合理意见和建议给予采纳，并再次修改后，形成本标准的送审稿。</w:t>
      </w:r>
    </w:p>
    <w:p>
      <w:pPr>
        <w:spacing w:line="520" w:lineRule="exact"/>
        <w:ind w:firstLine="640" w:firstLineChars="200"/>
        <w:rPr>
          <w:rFonts w:hint="eastAsia" w:ascii="仿宋_GB2312" w:eastAsia="仿宋_GB2312" w:hAnsiTheme="majorEastAsia"/>
          <w:sz w:val="32"/>
          <w:szCs w:val="32"/>
        </w:rPr>
      </w:pPr>
    </w:p>
    <w:p>
      <w:pPr>
        <w:spacing w:line="52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sz w:val="32"/>
          <w:szCs w:val="32"/>
        </w:rPr>
        <w:t>三、</w:t>
      </w:r>
      <w:r>
        <w:rPr>
          <w:rFonts w:hint="eastAsia" w:ascii="楷体" w:hAnsi="楷体" w:eastAsia="楷体"/>
          <w:color w:val="000000" w:themeColor="text1"/>
          <w:sz w:val="32"/>
          <w:szCs w:val="32"/>
          <w14:textFill>
            <w14:solidFill>
              <w14:schemeClr w14:val="tx1"/>
            </w14:solidFill>
          </w14:textFill>
        </w:rPr>
        <w:t>项目涉及技术在汕头市的基本情况</w:t>
      </w:r>
    </w:p>
    <w:p>
      <w:pPr>
        <w:spacing w:line="52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sz w:val="32"/>
          <w:szCs w:val="32"/>
          <w:lang w:val="en-US" w:eastAsia="zh-CN"/>
        </w:rPr>
        <w:t>汕头市是我国鱼胶文化传承为数不多的地方之一，赤嘴鳘鱼胶加工技术在汕头具有较为悠久历史。然而，目前赤嘴鳘鱼胶加工仍</w:t>
      </w:r>
      <w:r>
        <w:rPr>
          <w:rFonts w:hint="eastAsia" w:ascii="仿宋_GB2312" w:hAnsi="宋体" w:eastAsia="仿宋_GB2312" w:cs="宋体"/>
          <w:sz w:val="32"/>
          <w:szCs w:val="32"/>
        </w:rPr>
        <w:t>较粗放，</w:t>
      </w:r>
      <w:r>
        <w:rPr>
          <w:rFonts w:hint="eastAsia" w:ascii="仿宋_GB2312" w:hAnsi="宋体" w:eastAsia="仿宋_GB2312" w:cs="宋体"/>
          <w:sz w:val="32"/>
          <w:szCs w:val="32"/>
          <w:lang w:val="en-US" w:eastAsia="zh-CN"/>
        </w:rPr>
        <w:t>多为渔民家庭作坊式生产，采用</w:t>
      </w:r>
      <w:r>
        <w:rPr>
          <w:rFonts w:hint="eastAsia" w:ascii="仿宋_GB2312" w:hAnsi="宋体" w:eastAsia="仿宋_GB2312" w:cs="宋体"/>
          <w:sz w:val="32"/>
          <w:szCs w:val="32"/>
        </w:rPr>
        <w:t>传统手工去脂和日晒为主，</w:t>
      </w:r>
      <w:r>
        <w:rPr>
          <w:rFonts w:hint="eastAsia" w:ascii="仿宋_GB2312" w:hAnsi="宋体" w:eastAsia="仿宋_GB2312" w:cs="宋体"/>
          <w:sz w:val="32"/>
          <w:szCs w:val="32"/>
          <w:lang w:val="en-US" w:eastAsia="zh-CN"/>
        </w:rPr>
        <w:t>且多</w:t>
      </w:r>
      <w:r>
        <w:rPr>
          <w:rFonts w:hint="eastAsia" w:ascii="仿宋_GB2312" w:hAnsi="宋体" w:eastAsia="仿宋_GB2312" w:cs="宋体"/>
          <w:sz w:val="32"/>
          <w:szCs w:val="32"/>
        </w:rPr>
        <w:t>凭借经验进行操作</w:t>
      </w:r>
      <w:r>
        <w:rPr>
          <w:rFonts w:hint="eastAsia" w:ascii="仿宋_GB2312" w:hAnsi="宋体" w:eastAsia="仿宋_GB2312"/>
          <w:sz w:val="32"/>
          <w:szCs w:val="32"/>
        </w:rPr>
        <w:t>。</w:t>
      </w:r>
      <w:r>
        <w:rPr>
          <w:rFonts w:hint="eastAsia" w:ascii="仿宋_GB2312" w:hAnsi="宋体" w:eastAsia="仿宋_GB2312" w:cs="宋体"/>
          <w:sz w:val="32"/>
          <w:szCs w:val="32"/>
          <w:lang w:val="en-US" w:eastAsia="zh-CN"/>
        </w:rPr>
        <w:t>正规鱼胶食品加工厂数量仍不多，规模较小。整体上，赤嘴鳘鱼胶加工技术缺少标准流程规范，造成了市面上鱼胶品质参差不齐，不利于我市鱼胶产业规模化、标准化发展。本项目的实施，能够</w:t>
      </w:r>
      <w:r>
        <w:rPr>
          <w:rFonts w:hint="eastAsia" w:ascii="仿宋_GB2312" w:hAnsi="宋体" w:eastAsia="仿宋_GB2312" w:cs="宋体"/>
          <w:sz w:val="32"/>
          <w:szCs w:val="32"/>
        </w:rPr>
        <w:t>推动我市鱼胶产业标准化进程</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打造地理品牌效益，并助力我市海洋经济高质量发展和乡村振兴发展战略的实施。</w:t>
      </w:r>
    </w:p>
    <w:p>
      <w:pPr>
        <w:spacing w:line="520" w:lineRule="exact"/>
        <w:ind w:firstLine="640" w:firstLineChars="200"/>
        <w:rPr>
          <w:rFonts w:hint="default" w:ascii="仿宋_GB2312" w:hAnsi="宋体" w:eastAsia="仿宋_GB2312" w:cs="宋体"/>
          <w:sz w:val="32"/>
          <w:szCs w:val="32"/>
          <w:lang w:val="en-US" w:eastAsia="zh-CN"/>
        </w:rPr>
      </w:pPr>
    </w:p>
    <w:p>
      <w:pPr>
        <w:adjustRightInd w:val="0"/>
        <w:snapToGrid w:val="0"/>
        <w:spacing w:line="520" w:lineRule="exact"/>
        <w:ind w:firstLine="696"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pacing w:val="14"/>
          <w:sz w:val="32"/>
          <w:szCs w:val="32"/>
          <w14:textFill>
            <w14:solidFill>
              <w14:schemeClr w14:val="tx1"/>
            </w14:solidFill>
          </w14:textFill>
        </w:rPr>
        <w:t>四、标准</w:t>
      </w:r>
      <w:r>
        <w:rPr>
          <w:rFonts w:hint="eastAsia" w:ascii="楷体" w:hAnsi="楷体" w:eastAsia="楷体"/>
          <w:color w:val="000000" w:themeColor="text1"/>
          <w:sz w:val="32"/>
          <w:szCs w:val="32"/>
          <w14:textFill>
            <w14:solidFill>
              <w14:schemeClr w14:val="tx1"/>
            </w14:solidFill>
          </w14:textFill>
        </w:rPr>
        <w:t>起草过程中的编制原则和主要内容的确定论据（包括试验、统计数据）</w:t>
      </w:r>
    </w:p>
    <w:p>
      <w:pPr>
        <w:pStyle w:val="9"/>
        <w:numPr>
          <w:ilvl w:val="0"/>
          <w:numId w:val="0"/>
        </w:num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编制原则</w:t>
      </w:r>
    </w:p>
    <w:p>
      <w:pPr>
        <w:pStyle w:val="9"/>
        <w:spacing w:line="520" w:lineRule="exact"/>
        <w:ind w:left="0" w:leftChars="0"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 xml:space="preserve">本标准按照GB/T 1.1-2020《标准化工作导则 第1部分：标准化文件的结构和起草规则》和GB/T </w:t>
      </w:r>
      <w:r>
        <w:rPr>
          <w:rFonts w:hint="eastAsia" w:ascii="仿宋_GB2312" w:hAnsi="宋体" w:eastAsia="仿宋_GB2312" w:cs="宋体"/>
          <w:sz w:val="32"/>
          <w:szCs w:val="32"/>
          <w:lang w:val="en-US" w:eastAsia="zh-CN"/>
        </w:rPr>
        <w:t>20001.6-2017</w:t>
      </w:r>
      <w:r>
        <w:rPr>
          <w:rFonts w:hint="eastAsia" w:ascii="仿宋_GB2312" w:hAnsi="宋体" w:eastAsia="仿宋_GB2312" w:cs="宋体"/>
          <w:sz w:val="32"/>
          <w:szCs w:val="32"/>
        </w:rPr>
        <w:t>《标准</w:t>
      </w:r>
      <w:r>
        <w:rPr>
          <w:rFonts w:hint="eastAsia" w:ascii="仿宋_GB2312" w:hAnsi="宋体" w:eastAsia="仿宋_GB2312" w:cs="宋体"/>
          <w:sz w:val="32"/>
          <w:szCs w:val="32"/>
          <w:lang w:val="en-US" w:eastAsia="zh-CN"/>
        </w:rPr>
        <w:t>编写规则 第6部分：规程标准</w:t>
      </w:r>
      <w:r>
        <w:rPr>
          <w:rFonts w:hint="eastAsia" w:ascii="仿宋_GB2312" w:hAnsi="宋体" w:eastAsia="仿宋_GB2312" w:cs="宋体"/>
          <w:sz w:val="32"/>
          <w:szCs w:val="32"/>
        </w:rPr>
        <w:t>》中的规定进行编写</w:t>
      </w:r>
      <w:r>
        <w:rPr>
          <w:rFonts w:hint="eastAsia" w:ascii="仿宋_GB2312" w:hAnsi="宋体" w:eastAsia="仿宋_GB2312" w:cs="宋体"/>
          <w:sz w:val="32"/>
          <w:szCs w:val="32"/>
          <w:lang w:eastAsia="zh-CN"/>
        </w:rPr>
        <w:t>，保证了术语和格式的规范化。</w:t>
      </w:r>
      <w:r>
        <w:rPr>
          <w:rFonts w:hint="eastAsia" w:ascii="仿宋_GB2312" w:hAnsi="宋体" w:eastAsia="仿宋_GB2312" w:cs="宋体"/>
          <w:sz w:val="32"/>
          <w:szCs w:val="32"/>
          <w:lang w:val="en-US" w:eastAsia="zh-CN"/>
        </w:rPr>
        <w:t>本标准编制的主要原则：</w:t>
      </w:r>
    </w:p>
    <w:p>
      <w:pPr>
        <w:pStyle w:val="9"/>
        <w:numPr>
          <w:ilvl w:val="0"/>
          <w:numId w:val="2"/>
        </w:numPr>
        <w:spacing w:line="520" w:lineRule="exact"/>
        <w:ind w:left="0" w:leftChars="0"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保证标准的先进性、可操作性：在相关文献、同类参考标准及项目组对赤嘴鳘鱼胶相关研究基础上，对赤嘴鳘鱼胶加工的操作规程进行科学提炼和总结，从而保证标准的先进性、可操作性；</w:t>
      </w:r>
    </w:p>
    <w:p>
      <w:pPr>
        <w:pStyle w:val="9"/>
        <w:numPr>
          <w:ilvl w:val="0"/>
          <w:numId w:val="2"/>
        </w:numPr>
        <w:spacing w:line="520" w:lineRule="exact"/>
        <w:ind w:left="0" w:leftChars="0"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强化标准的服务功能：结合充分调研和必要的试验验证，同时广泛征求鱼胶生产者及行业专家意见，以较全面覆盖标准实施主体，更有效发挥标准的服务功能。</w:t>
      </w:r>
    </w:p>
    <w:p>
      <w:pPr>
        <w:pStyle w:val="9"/>
        <w:numPr>
          <w:ilvl w:val="0"/>
          <w:numId w:val="0"/>
        </w:num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主要内容确定依据</w:t>
      </w:r>
    </w:p>
    <w:p>
      <w:pPr>
        <w:pStyle w:val="9"/>
        <w:spacing w:line="520" w:lineRule="exact"/>
        <w:ind w:firstLine="640"/>
        <w:rPr>
          <w:rFonts w:hint="default"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（1）范围</w:t>
      </w:r>
    </w:p>
    <w:p>
      <w:pPr>
        <w:pStyle w:val="9"/>
        <w:spacing w:line="520" w:lineRule="exact"/>
        <w:ind w:firstLine="64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drawing>
          <wp:anchor distT="0" distB="0" distL="114300" distR="114300" simplePos="0" relativeHeight="251662336" behindDoc="0" locked="0" layoutInCell="1" allowOverlap="1">
            <wp:simplePos x="0" y="0"/>
            <wp:positionH relativeFrom="column">
              <wp:posOffset>-15875</wp:posOffset>
            </wp:positionH>
            <wp:positionV relativeFrom="paragraph">
              <wp:posOffset>67310</wp:posOffset>
            </wp:positionV>
            <wp:extent cx="5271135" cy="886460"/>
            <wp:effectExtent l="0" t="0" r="5715" b="8890"/>
            <wp:wrapNone/>
            <wp:docPr id="5" name="图片 5" descr="1668514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8514084(1)"/>
                    <pic:cNvPicPr>
                      <a:picLocks noChangeAspect="1"/>
                    </pic:cNvPicPr>
                  </pic:nvPicPr>
                  <pic:blipFill>
                    <a:blip r:embed="rId7"/>
                    <a:stretch>
                      <a:fillRect/>
                    </a:stretch>
                  </pic:blipFill>
                  <pic:spPr>
                    <a:xfrm>
                      <a:off x="0" y="0"/>
                      <a:ext cx="5271135" cy="886460"/>
                    </a:xfrm>
                    <a:prstGeom prst="rect">
                      <a:avLst/>
                    </a:prstGeom>
                  </pic:spPr>
                </pic:pic>
              </a:graphicData>
            </a:graphic>
          </wp:anchor>
        </w:drawing>
      </w:r>
    </w:p>
    <w:p>
      <w:pPr>
        <w:pStyle w:val="9"/>
        <w:spacing w:line="520" w:lineRule="exact"/>
        <w:rPr>
          <w:rFonts w:hint="eastAsia" w:ascii="仿宋_GB2312" w:hAnsi="宋体" w:eastAsia="仿宋_GB2312" w:cs="宋体"/>
          <w:b/>
          <w:bCs/>
          <w:sz w:val="32"/>
          <w:szCs w:val="32"/>
          <w:lang w:val="en-US" w:eastAsia="zh-CN"/>
        </w:rPr>
      </w:pPr>
    </w:p>
    <w:p>
      <w:pPr>
        <w:pStyle w:val="9"/>
        <w:spacing w:line="520" w:lineRule="exact"/>
        <w:ind w:firstLine="640"/>
        <w:rPr>
          <w:rFonts w:hint="eastAsia" w:ascii="仿宋_GB2312" w:hAnsi="宋体" w:eastAsia="仿宋_GB2312" w:cs="宋体"/>
          <w:b/>
          <w:bCs/>
          <w:sz w:val="32"/>
          <w:szCs w:val="32"/>
          <w:lang w:val="en-US" w:eastAsia="zh-CN"/>
        </w:rPr>
      </w:pPr>
    </w:p>
    <w:p>
      <w:pPr>
        <w:pStyle w:val="9"/>
        <w:spacing w:line="520" w:lineRule="exact"/>
        <w:ind w:firstLine="64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 xml:space="preserve"> 理由及依据</w:t>
      </w:r>
      <w:r>
        <w:rPr>
          <w:rFonts w:hint="eastAsia" w:ascii="仿宋_GB2312" w:hAnsi="宋体" w:eastAsia="仿宋_GB2312" w:cs="宋体"/>
          <w:sz w:val="32"/>
          <w:szCs w:val="32"/>
          <w:lang w:val="en-US" w:eastAsia="zh-CN"/>
        </w:rPr>
        <w:t>：市场上认为赤嘴鳘鱼胶来源于双棘原黄姑鱼或褐毛鲿的鱼鳔，然而有研究指出双棘原黄姑鱼和褐毛鲿可能属于同一物种，褐毛鲿是否是与双棘原黄姑鱼不同的物种，仍存在争议。我们能够肯定的是潮汕地区养殖的双棘原黄姑鱼的鱼鳔确定是赤嘴鳘鱼胶。此外，我们实验中通过 DNA 条形码鉴定市场上部分疑似来源于褐毛鲿的赤嘴鳘鱼胶样品（大耳赤嘴），结果也表明物种为双棘原黄姑鱼。因此，我们确定本标准的使用范围为赤嘴鳘（双棘原黄姑鱼）鱼胶的加工操作过程，其他品种鱼类鱼胶的生产过程可参照执行。</w:t>
      </w:r>
    </w:p>
    <w:p>
      <w:pPr>
        <w:pStyle w:val="9"/>
        <w:spacing w:line="520" w:lineRule="exact"/>
        <w:ind w:firstLine="640"/>
        <w:rPr>
          <w:rFonts w:hint="default"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（2）通则</w:t>
      </w:r>
    </w:p>
    <w:p>
      <w:pPr>
        <w:pStyle w:val="9"/>
        <w:spacing w:line="520" w:lineRule="exact"/>
        <w:ind w:firstLine="640"/>
        <w:rPr>
          <w:rFonts w:hint="default"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274310" cy="1254125"/>
            <wp:effectExtent l="0" t="0" r="2540" b="3175"/>
            <wp:wrapNone/>
            <wp:docPr id="2" name="图片 2" descr="1662088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2088463(1)"/>
                    <pic:cNvPicPr>
                      <a:picLocks noChangeAspect="1"/>
                    </pic:cNvPicPr>
                  </pic:nvPicPr>
                  <pic:blipFill>
                    <a:blip r:embed="rId8"/>
                    <a:srcRect t="18624"/>
                    <a:stretch>
                      <a:fillRect/>
                    </a:stretch>
                  </pic:blipFill>
                  <pic:spPr>
                    <a:xfrm>
                      <a:off x="0" y="0"/>
                      <a:ext cx="5274310" cy="1254125"/>
                    </a:xfrm>
                    <a:prstGeom prst="rect">
                      <a:avLst/>
                    </a:prstGeom>
                  </pic:spPr>
                </pic:pic>
              </a:graphicData>
            </a:graphic>
          </wp:anchor>
        </w:drawing>
      </w:r>
    </w:p>
    <w:p>
      <w:pPr>
        <w:pStyle w:val="9"/>
        <w:spacing w:line="520" w:lineRule="exact"/>
        <w:ind w:firstLine="640"/>
        <w:rPr>
          <w:rFonts w:hint="default" w:ascii="仿宋_GB2312" w:hAnsi="宋体" w:eastAsia="仿宋_GB2312" w:cs="宋体"/>
          <w:sz w:val="32"/>
          <w:szCs w:val="32"/>
          <w:lang w:val="en-US" w:eastAsia="zh-CN"/>
        </w:rPr>
      </w:pPr>
    </w:p>
    <w:p>
      <w:pPr>
        <w:pStyle w:val="9"/>
        <w:spacing w:line="520" w:lineRule="exact"/>
        <w:ind w:firstLine="640"/>
        <w:rPr>
          <w:rFonts w:hint="default" w:ascii="仿宋_GB2312" w:hAnsi="宋体" w:eastAsia="仿宋_GB2312" w:cs="宋体"/>
          <w:sz w:val="32"/>
          <w:szCs w:val="32"/>
          <w:lang w:val="en-US" w:eastAsia="zh-CN"/>
        </w:rPr>
      </w:pPr>
    </w:p>
    <w:p>
      <w:pPr>
        <w:pStyle w:val="9"/>
        <w:spacing w:line="520" w:lineRule="exact"/>
        <w:ind w:firstLine="640"/>
        <w:rPr>
          <w:rFonts w:hint="default" w:ascii="仿宋_GB2312" w:hAnsi="宋体" w:eastAsia="仿宋_GB2312" w:cs="宋体"/>
          <w:sz w:val="32"/>
          <w:szCs w:val="32"/>
          <w:lang w:val="en-US" w:eastAsia="zh-CN"/>
        </w:rPr>
      </w:pPr>
    </w:p>
    <w:p>
      <w:pPr>
        <w:pStyle w:val="9"/>
        <w:spacing w:line="520" w:lineRule="exact"/>
        <w:ind w:left="0" w:leftChars="0"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理由及依据</w:t>
      </w:r>
      <w:r>
        <w:rPr>
          <w:rFonts w:hint="eastAsia" w:ascii="仿宋_GB2312" w:hAnsi="宋体" w:eastAsia="仿宋_GB2312" w:cs="宋体"/>
          <w:sz w:val="32"/>
          <w:szCs w:val="32"/>
          <w:lang w:val="en-US" w:eastAsia="zh-CN"/>
        </w:rPr>
        <w:t>：鱼胶属于动物性水产加工制品，其加工操作过程涉及的加工设备及用具、原料及加工助剂等应符合相关国家食品安全标准（GB 20941 食品安全国家标准 水产制品生产卫生规范；GB 2733 食品安全国家标准鲜、冻动物性水产品；GB 2760 食品安全国家标准 食品添加剂使用标准；GB 5749 生活饮用水卫生标准等）。</w:t>
      </w:r>
    </w:p>
    <w:p>
      <w:pPr>
        <w:pStyle w:val="9"/>
        <w:numPr>
          <w:ilvl w:val="0"/>
          <w:numId w:val="3"/>
        </w:numPr>
        <w:spacing w:line="520" w:lineRule="exact"/>
        <w:ind w:firstLine="64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加工工艺流程</w:t>
      </w:r>
    </w:p>
    <w:p>
      <w:pPr>
        <w:pStyle w:val="9"/>
        <w:numPr>
          <w:ilvl w:val="0"/>
          <w:numId w:val="0"/>
        </w:numPr>
        <w:autoSpaceDE w:val="0"/>
        <w:autoSpaceDN w:val="0"/>
        <w:spacing w:line="520" w:lineRule="exact"/>
        <w:jc w:val="both"/>
        <w:rPr>
          <w:rFonts w:hint="default" w:ascii="仿宋_GB2312" w:hAnsi="宋体" w:eastAsia="仿宋_GB2312" w:cs="宋体"/>
          <w:b/>
          <w:bCs/>
          <w:sz w:val="32"/>
          <w:szCs w:val="32"/>
          <w:lang w:val="en-US" w:eastAsia="zh-CN"/>
        </w:rPr>
      </w:pPr>
      <w:r>
        <w:rPr>
          <w:rFonts w:hint="default" w:ascii="仿宋_GB2312" w:hAnsi="宋体" w:eastAsia="仿宋_GB2312" w:cs="宋体"/>
          <w:sz w:val="32"/>
          <w:szCs w:val="32"/>
          <w:lang w:val="en-US" w:eastAsia="zh-CN"/>
        </w:rPr>
        <w:drawing>
          <wp:anchor distT="0" distB="0" distL="114300" distR="114300" simplePos="0" relativeHeight="251660288" behindDoc="0" locked="0" layoutInCell="1" allowOverlap="1">
            <wp:simplePos x="0" y="0"/>
            <wp:positionH relativeFrom="column">
              <wp:posOffset>-39370</wp:posOffset>
            </wp:positionH>
            <wp:positionV relativeFrom="paragraph">
              <wp:posOffset>173990</wp:posOffset>
            </wp:positionV>
            <wp:extent cx="5273040" cy="1914525"/>
            <wp:effectExtent l="0" t="0" r="3810" b="9525"/>
            <wp:wrapNone/>
            <wp:docPr id="3" name="图片 3" descr="1662359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2359600(1)"/>
                    <pic:cNvPicPr>
                      <a:picLocks noChangeAspect="1"/>
                    </pic:cNvPicPr>
                  </pic:nvPicPr>
                  <pic:blipFill>
                    <a:blip r:embed="rId9"/>
                    <a:stretch>
                      <a:fillRect/>
                    </a:stretch>
                  </pic:blipFill>
                  <pic:spPr>
                    <a:xfrm>
                      <a:off x="0" y="0"/>
                      <a:ext cx="5273040" cy="1914525"/>
                    </a:xfrm>
                    <a:prstGeom prst="rect">
                      <a:avLst/>
                    </a:prstGeom>
                  </pic:spPr>
                </pic:pic>
              </a:graphicData>
            </a:graphic>
          </wp:anchor>
        </w:drawing>
      </w:r>
    </w:p>
    <w:p>
      <w:pPr>
        <w:pStyle w:val="9"/>
        <w:numPr>
          <w:ilvl w:val="0"/>
          <w:numId w:val="0"/>
        </w:numPr>
        <w:autoSpaceDE w:val="0"/>
        <w:autoSpaceDN w:val="0"/>
        <w:spacing w:line="520" w:lineRule="exact"/>
        <w:jc w:val="both"/>
        <w:rPr>
          <w:rFonts w:hint="default" w:ascii="仿宋_GB2312" w:hAnsi="宋体" w:eastAsia="仿宋_GB2312" w:cs="宋体"/>
          <w:b/>
          <w:bCs/>
          <w:sz w:val="32"/>
          <w:szCs w:val="32"/>
          <w:lang w:val="en-US" w:eastAsia="zh-CN"/>
        </w:rPr>
      </w:pPr>
    </w:p>
    <w:p>
      <w:pPr>
        <w:pStyle w:val="9"/>
        <w:numPr>
          <w:ilvl w:val="0"/>
          <w:numId w:val="0"/>
        </w:numPr>
        <w:autoSpaceDE w:val="0"/>
        <w:autoSpaceDN w:val="0"/>
        <w:spacing w:line="520" w:lineRule="exact"/>
        <w:jc w:val="both"/>
        <w:rPr>
          <w:rFonts w:hint="default" w:ascii="仿宋_GB2312" w:hAnsi="宋体" w:eastAsia="仿宋_GB2312" w:cs="宋体"/>
          <w:b/>
          <w:bCs/>
          <w:sz w:val="32"/>
          <w:szCs w:val="32"/>
          <w:lang w:val="en-US" w:eastAsia="zh-CN"/>
        </w:rPr>
      </w:pPr>
    </w:p>
    <w:p>
      <w:pPr>
        <w:pStyle w:val="9"/>
        <w:numPr>
          <w:ilvl w:val="0"/>
          <w:numId w:val="0"/>
        </w:numPr>
        <w:autoSpaceDE w:val="0"/>
        <w:autoSpaceDN w:val="0"/>
        <w:spacing w:line="520" w:lineRule="exact"/>
        <w:jc w:val="both"/>
        <w:rPr>
          <w:rFonts w:hint="default" w:ascii="仿宋_GB2312" w:hAnsi="宋体" w:eastAsia="仿宋_GB2312" w:cs="宋体"/>
          <w:b/>
          <w:bCs/>
          <w:sz w:val="32"/>
          <w:szCs w:val="32"/>
          <w:lang w:val="en-US" w:eastAsia="zh-CN"/>
        </w:rPr>
      </w:pPr>
    </w:p>
    <w:p>
      <w:pPr>
        <w:pStyle w:val="9"/>
        <w:numPr>
          <w:ilvl w:val="0"/>
          <w:numId w:val="0"/>
        </w:numPr>
        <w:autoSpaceDE w:val="0"/>
        <w:autoSpaceDN w:val="0"/>
        <w:spacing w:line="520" w:lineRule="exact"/>
        <w:jc w:val="both"/>
        <w:rPr>
          <w:rFonts w:hint="default" w:ascii="仿宋_GB2312" w:hAnsi="宋体" w:eastAsia="仿宋_GB2312" w:cs="宋体"/>
          <w:b/>
          <w:bCs/>
          <w:sz w:val="32"/>
          <w:szCs w:val="32"/>
          <w:lang w:val="en-US" w:eastAsia="zh-CN"/>
        </w:rPr>
      </w:pPr>
    </w:p>
    <w:p>
      <w:pPr>
        <w:pStyle w:val="9"/>
        <w:spacing w:line="520" w:lineRule="exact"/>
        <w:ind w:left="0" w:leftChars="0" w:firstLine="0" w:firstLineChars="0"/>
        <w:rPr>
          <w:rFonts w:hint="default" w:ascii="仿宋_GB2312" w:hAnsi="宋体" w:eastAsia="仿宋_GB2312" w:cs="宋体"/>
          <w:sz w:val="32"/>
          <w:szCs w:val="32"/>
          <w:lang w:val="en-US" w:eastAsia="zh-CN"/>
        </w:rPr>
      </w:pPr>
    </w:p>
    <w:p>
      <w:pPr>
        <w:pStyle w:val="9"/>
        <w:spacing w:line="520" w:lineRule="exact"/>
        <w:ind w:left="0" w:leftChars="0" w:firstLine="0" w:firstLineChars="0"/>
        <w:rPr>
          <w:rFonts w:hint="default" w:ascii="仿宋_GB2312" w:hAnsi="宋体" w:eastAsia="仿宋_GB2312" w:cs="宋体"/>
          <w:sz w:val="32"/>
          <w:szCs w:val="32"/>
          <w:lang w:val="en-US" w:eastAsia="zh-CN"/>
        </w:rPr>
      </w:pPr>
    </w:p>
    <w:p>
      <w:pPr>
        <w:pStyle w:val="9"/>
        <w:spacing w:line="520" w:lineRule="exact"/>
        <w:ind w:left="0" w:leftChars="0" w:firstLine="0" w:firstLineChars="0"/>
        <w:rPr>
          <w:rFonts w:hint="eastAsia"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理由及依据</w:t>
      </w:r>
      <w:r>
        <w:rPr>
          <w:rFonts w:hint="eastAsia" w:ascii="仿宋_GB2312" w:hAnsi="宋体" w:eastAsia="仿宋_GB2312" w:cs="宋体"/>
          <w:sz w:val="32"/>
          <w:szCs w:val="32"/>
          <w:lang w:val="en-US" w:eastAsia="zh-CN"/>
        </w:rPr>
        <w:t>：本规程确立的赤嘴鳘鱼胶加工流程包括：原料验收、暂存、清洗、整型、干燥、分选、包装、储存等工序。这些工序的总结以参编单位汕头市颐膳美食品有限公司赤嘴鳘鱼胶标准加工流程及不同鱼胶加工企业和生产者（渔民）的实际调研为主要依据。其中原料验收（7.1）、暂存（7.2）操作为加工企业的常规操作，旨在保证原料新鲜，质量安全；清洗（7.3）步骤中，在冰水中浸泡，清洗主要为了减少或淡化鳔身血液，同时在该步骤中强调尽可能去除鳔身脂肪，目的为了减少后期脂肪氧化，影响鱼胶的外观、质量和保质期；整型（7.4）步骤，根据不同造型鱼胶的需要而进行，该步骤在干燥之前或在干燥过程中应适时进行整型；干燥（7.5）步骤，根据不同生产者对象（渔民或加工企业）可分为自然干燥和恒温干燥，具体步骤根据参编单位实际加工流程及渔民经验进行总结。其中水分要求（水分含量低于25%才能进行分选）根据多数鱼胶加工企业标准（表1）和鱼胶干燥实验数据（图1）进行确定（不同干燥方式5-7天水分含量基本保持稳定）。</w:t>
      </w:r>
    </w:p>
    <w:p>
      <w:pPr>
        <w:pStyle w:val="9"/>
        <w:spacing w:line="520" w:lineRule="exact"/>
        <w:ind w:left="0" w:leftChars="0" w:firstLine="2319" w:firstLineChars="1100"/>
        <w:rPr>
          <w:rFonts w:ascii="Times New Roman" w:hAnsi="Times New Roman"/>
          <w:b/>
          <w:bCs/>
        </w:rPr>
      </w:pPr>
      <w:r>
        <w:rPr>
          <w:rFonts w:ascii="Times New Roman" w:hAnsi="Times New Roman"/>
          <w:b/>
          <w:bCs/>
        </w:rPr>
        <w:t>表</w:t>
      </w:r>
      <w:r>
        <w:rPr>
          <w:rFonts w:hint="eastAsia" w:ascii="Times New Roman" w:hAnsi="Times New Roman"/>
          <w:b/>
          <w:bCs/>
          <w:lang w:val="en-US" w:eastAsia="zh-CN"/>
        </w:rPr>
        <w:t>1</w:t>
      </w:r>
      <w:r>
        <w:rPr>
          <w:rFonts w:ascii="Times New Roman" w:hAnsi="Times New Roman"/>
          <w:b/>
          <w:bCs/>
        </w:rPr>
        <w:t xml:space="preserve"> 鱼胶水分含量的企业标准</w:t>
      </w:r>
    </w:p>
    <w:tbl>
      <w:tblPr>
        <w:tblStyle w:val="4"/>
        <w:tblpPr w:leftFromText="180" w:rightFromText="180" w:vertAnchor="text" w:horzAnchor="page" w:tblpX="4015"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4"/>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634" w:type="dxa"/>
            <w:noWrap w:val="0"/>
            <w:vAlign w:val="top"/>
          </w:tcPr>
          <w:p>
            <w:pPr>
              <w:adjustRightInd w:val="0"/>
              <w:snapToGrid w:val="0"/>
              <w:spacing w:line="360" w:lineRule="auto"/>
              <w:ind w:firstLine="420" w:firstLineChars="200"/>
              <w:rPr>
                <w:rFonts w:ascii="Times New Roman" w:hAnsi="Times New Roman"/>
                <w:szCs w:val="21"/>
              </w:rPr>
            </w:pPr>
            <w:r>
              <w:rPr>
                <w:rFonts w:ascii="Times New Roman" w:hAnsi="Times New Roman"/>
                <w:szCs w:val="21"/>
              </w:rPr>
              <w:t>企业</w:t>
            </w:r>
          </w:p>
        </w:tc>
        <w:tc>
          <w:tcPr>
            <w:tcW w:w="1570"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水分含量要求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634" w:type="dxa"/>
            <w:noWrap w:val="0"/>
            <w:vAlign w:val="top"/>
          </w:tcPr>
          <w:p>
            <w:pPr>
              <w:adjustRightInd w:val="0"/>
              <w:snapToGrid w:val="0"/>
              <w:spacing w:line="360" w:lineRule="auto"/>
              <w:jc w:val="center"/>
              <w:rPr>
                <w:rFonts w:ascii="Times New Roman" w:hAnsi="Times New Roman"/>
                <w:szCs w:val="21"/>
                <w:highlight w:val="yellow"/>
              </w:rPr>
            </w:pPr>
            <w:r>
              <w:rPr>
                <w:rFonts w:ascii="Times New Roman" w:hAnsi="Times New Roman"/>
                <w:szCs w:val="21"/>
              </w:rPr>
              <w:t>企业1</w:t>
            </w:r>
          </w:p>
        </w:tc>
        <w:tc>
          <w:tcPr>
            <w:tcW w:w="1570"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&lt;= 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634"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企业2</w:t>
            </w:r>
          </w:p>
        </w:tc>
        <w:tc>
          <w:tcPr>
            <w:tcW w:w="1570"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&lt;= 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634"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企业3</w:t>
            </w:r>
          </w:p>
        </w:tc>
        <w:tc>
          <w:tcPr>
            <w:tcW w:w="1570"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&lt;= 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634"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企业4</w:t>
            </w:r>
          </w:p>
        </w:tc>
        <w:tc>
          <w:tcPr>
            <w:tcW w:w="1570"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&lt;= 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634"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企业5</w:t>
            </w:r>
          </w:p>
        </w:tc>
        <w:tc>
          <w:tcPr>
            <w:tcW w:w="1570" w:type="dxa"/>
            <w:noWrap w:val="0"/>
            <w:vAlign w:val="top"/>
          </w:tcPr>
          <w:p>
            <w:pPr>
              <w:adjustRightInd w:val="0"/>
              <w:snapToGrid w:val="0"/>
              <w:spacing w:line="360" w:lineRule="auto"/>
              <w:jc w:val="center"/>
              <w:rPr>
                <w:rFonts w:ascii="Times New Roman" w:hAnsi="Times New Roman"/>
                <w:szCs w:val="21"/>
              </w:rPr>
            </w:pPr>
            <w:r>
              <w:rPr>
                <w:rFonts w:ascii="Times New Roman" w:hAnsi="Times New Roman"/>
                <w:szCs w:val="21"/>
              </w:rPr>
              <w:t>&lt;= 25%</w:t>
            </w:r>
          </w:p>
        </w:tc>
      </w:tr>
    </w:tbl>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bookmarkStart w:id="0" w:name="_GoBack"/>
      <w:bookmarkEnd w:id="0"/>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hint="default" w:ascii="仿宋_GB2312" w:hAnsi="宋体" w:eastAsia="仿宋_GB2312" w:cs="宋体"/>
          <w:sz w:val="32"/>
          <w:szCs w:val="32"/>
          <w:lang w:val="en-US" w:eastAsia="zh-CN"/>
        </w:rPr>
        <w:drawing>
          <wp:anchor distT="0" distB="0" distL="114300" distR="114300" simplePos="0" relativeHeight="251661312" behindDoc="0" locked="0" layoutInCell="1" allowOverlap="1">
            <wp:simplePos x="0" y="0"/>
            <wp:positionH relativeFrom="column">
              <wp:posOffset>521970</wp:posOffset>
            </wp:positionH>
            <wp:positionV relativeFrom="paragraph">
              <wp:posOffset>259715</wp:posOffset>
            </wp:positionV>
            <wp:extent cx="4183380" cy="3564890"/>
            <wp:effectExtent l="0" t="0" r="0" b="0"/>
            <wp:wrapNone/>
            <wp:docPr id="4" name="图片 4" descr="不同风干方式双棘原黄姑鱼鱼胶水分含量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不同风干方式双棘原黄姑鱼鱼胶水分含量变化"/>
                    <pic:cNvPicPr>
                      <a:picLocks noChangeAspect="1"/>
                    </pic:cNvPicPr>
                  </pic:nvPicPr>
                  <pic:blipFill>
                    <a:blip r:embed="rId10"/>
                    <a:srcRect t="9259"/>
                    <a:stretch>
                      <a:fillRect/>
                    </a:stretch>
                  </pic:blipFill>
                  <pic:spPr>
                    <a:xfrm>
                      <a:off x="0" y="0"/>
                      <a:ext cx="4183380" cy="3564890"/>
                    </a:xfrm>
                    <a:prstGeom prst="rect">
                      <a:avLst/>
                    </a:prstGeom>
                  </pic:spPr>
                </pic:pic>
              </a:graphicData>
            </a:graphic>
          </wp:anchor>
        </w:drawing>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pStyle w:val="9"/>
        <w:spacing w:line="520" w:lineRule="exact"/>
        <w:ind w:left="0" w:leftChars="0" w:firstLine="0" w:firstLineChars="0"/>
        <w:rPr>
          <w:rFonts w:hint="default" w:ascii="仿宋_GB2312" w:hAnsi="宋体" w:eastAsia="仿宋_GB2312" w:cs="宋体"/>
          <w:sz w:val="32"/>
          <w:szCs w:val="32"/>
          <w:lang w:val="en-US" w:eastAsia="zh-CN"/>
        </w:rPr>
      </w:pPr>
    </w:p>
    <w:p>
      <w:pPr>
        <w:pStyle w:val="9"/>
        <w:spacing w:line="520" w:lineRule="exact"/>
        <w:ind w:left="0" w:leftChars="0" w:firstLine="0" w:firstLineChars="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w:t>
      </w:r>
    </w:p>
    <w:p>
      <w:pPr>
        <w:pStyle w:val="9"/>
        <w:spacing w:line="520" w:lineRule="exact"/>
        <w:ind w:left="0" w:leftChars="0" w:firstLine="960" w:firstLineChars="3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图1 不同干燥方式赤嘴鳘鱼胶水分含量变化</w:t>
      </w:r>
    </w:p>
    <w:p>
      <w:pPr>
        <w:pStyle w:val="9"/>
        <w:spacing w:line="520" w:lineRule="exact"/>
        <w:ind w:left="0" w:leftChars="0" w:firstLine="960" w:firstLineChars="300"/>
        <w:rPr>
          <w:rFonts w:hint="eastAsia" w:ascii="仿宋_GB2312" w:hAnsi="宋体" w:eastAsia="仿宋_GB2312" w:cs="宋体"/>
          <w:sz w:val="32"/>
          <w:szCs w:val="32"/>
          <w:lang w:val="en-US" w:eastAsia="zh-CN"/>
        </w:rPr>
      </w:pPr>
    </w:p>
    <w:p>
      <w:pPr>
        <w:pStyle w:val="9"/>
        <w:spacing w:line="520" w:lineRule="exact"/>
        <w:ind w:left="0" w:leftChars="0"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分选（7.6）、包装（7.7）及储存（7.8）步骤，主要根据企业鱼胶预包装产品相应的要求进行规范（</w:t>
      </w:r>
      <w:r>
        <w:rPr>
          <w:rFonts w:hint="eastAsia" w:ascii="仿宋_GB2312" w:hAnsi="宋体" w:eastAsia="仿宋_GB2312" w:cs="宋体"/>
          <w:sz w:val="32"/>
          <w:szCs w:val="32"/>
          <w:lang w:val="en-US" w:eastAsia="en-US"/>
        </w:rPr>
        <w:t xml:space="preserve">GB </w:t>
      </w:r>
      <w:r>
        <w:rPr>
          <w:rFonts w:hint="eastAsia" w:ascii="仿宋_GB2312" w:hAnsi="宋体" w:eastAsia="仿宋_GB2312" w:cs="宋体"/>
          <w:sz w:val="32"/>
          <w:szCs w:val="32"/>
          <w:lang w:val="en-US" w:eastAsia="zh-CN"/>
        </w:rPr>
        <w:t>7718、</w:t>
      </w:r>
      <w:r>
        <w:rPr>
          <w:rFonts w:hint="eastAsia" w:ascii="仿宋_GB2312" w:hAnsi="宋体" w:eastAsia="仿宋_GB2312" w:cs="宋体"/>
          <w:sz w:val="32"/>
          <w:szCs w:val="32"/>
          <w:lang w:val="en-US" w:eastAsia="en-US"/>
        </w:rPr>
        <w:t xml:space="preserve">GB/T </w:t>
      </w:r>
      <w:r>
        <w:rPr>
          <w:rFonts w:hint="eastAsia" w:ascii="仿宋_GB2312" w:hAnsi="宋体" w:eastAsia="仿宋_GB2312" w:cs="宋体"/>
          <w:sz w:val="32"/>
          <w:szCs w:val="32"/>
          <w:lang w:val="en-US" w:eastAsia="zh-CN"/>
        </w:rPr>
        <w:t>191）。对于散装产品，包装材料也应符合国家食品安全相应要求。</w:t>
      </w:r>
    </w:p>
    <w:p>
      <w:pPr>
        <w:pStyle w:val="9"/>
        <w:numPr>
          <w:ilvl w:val="0"/>
          <w:numId w:val="3"/>
        </w:numPr>
        <w:spacing w:line="520" w:lineRule="exact"/>
        <w:ind w:firstLine="640"/>
        <w:rPr>
          <w:rFonts w:hint="eastAsia" w:ascii="仿宋_GB2312" w:hAnsi="宋体" w:eastAsia="仿宋_GB2312" w:cs="宋体"/>
          <w:b/>
          <w:bCs/>
          <w:sz w:val="32"/>
          <w:szCs w:val="32"/>
          <w:lang w:val="en-US" w:eastAsia="zh-CN"/>
        </w:rPr>
      </w:pPr>
      <w:r>
        <w:rPr>
          <w:rFonts w:hint="eastAsia" w:ascii="仿宋_GB2312" w:hAnsi="宋体" w:eastAsia="仿宋_GB2312" w:cs="宋体"/>
          <w:b/>
          <w:bCs/>
          <w:sz w:val="32"/>
          <w:szCs w:val="32"/>
          <w:lang w:val="en-US" w:eastAsia="zh-CN"/>
        </w:rPr>
        <w:t>追溯方法</w:t>
      </w:r>
    </w:p>
    <w:p>
      <w:pPr>
        <w:pStyle w:val="9"/>
        <w:spacing w:line="520" w:lineRule="exact"/>
        <w:ind w:left="0" w:leftChars="0"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追溯方法包括原料记录（8.1）、过程记录（8.2）和档案管理（8.3），目的是为了能够对每批产品加工过程的信息进行记录和追溯，可以证明是否采用本规程进行规范生产。</w:t>
      </w:r>
    </w:p>
    <w:p>
      <w:pPr>
        <w:pStyle w:val="9"/>
        <w:spacing w:line="520" w:lineRule="exact"/>
        <w:ind w:left="0" w:leftChars="0" w:firstLine="640" w:firstLineChars="200"/>
        <w:rPr>
          <w:rFonts w:hint="default" w:ascii="仿宋_GB2312" w:hAnsi="宋体" w:eastAsia="仿宋_GB2312" w:cs="宋体"/>
          <w:sz w:val="32"/>
          <w:szCs w:val="32"/>
          <w:lang w:val="en-US" w:eastAsia="zh-CN"/>
        </w:rPr>
      </w:pPr>
    </w:p>
    <w:p>
      <w:pPr>
        <w:numPr>
          <w:ilvl w:val="0"/>
          <w:numId w:val="4"/>
        </w:numPr>
        <w:adjustRightInd w:val="0"/>
        <w:snapToGrid w:val="0"/>
        <w:spacing w:line="52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color w:val="000000" w:themeColor="text1"/>
          <w:sz w:val="32"/>
          <w:szCs w:val="32"/>
          <w14:textFill>
            <w14:solidFill>
              <w14:schemeClr w14:val="tx1"/>
            </w14:solidFill>
          </w14:textFill>
        </w:rPr>
        <w:t>与有关的现行法律、法规和强制性国家标准、行业标准、广东省地方标准的关系</w:t>
      </w:r>
    </w:p>
    <w:p>
      <w:pPr>
        <w:numPr>
          <w:ilvl w:val="0"/>
          <w:numId w:val="0"/>
        </w:numPr>
        <w:adjustRightInd w:val="0"/>
        <w:snapToGrid w:val="0"/>
        <w:spacing w:line="520" w:lineRule="exact"/>
        <w:ind w:firstLine="640" w:firstLineChars="200"/>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赤嘴鳘鱼胶作为以鲜、冻水产品（鱼鳔）为原料进行加工的水产制品，应遵守相关食品安全国家标准（GB 2733 食品安全国家标准鲜、冻动物性水产品；GB 2760 食品安全国家标准 食品添加剂使用标准；GB 5749 生活饮用水卫生标准等），也是本标准的基本要求，与国家相关法律、法规及强制性标准不冲突。目前，鱼胶行业标准化进度相对落后，可查询到2006年广东省干鱼鳔地方标准（DB44/T 384-2006），该标准属于鱼胶产品质量标准，与本申请提出的鱼胶加工技术规范标准属于不同范畴。同时，根据有关规定该地方标准于2016年废止，即目前关于鱼胶的地方、国家及行业标准仍是空白。本标准的制定填补了国内关于鱼胶加工技术相关标准的空白，对于促进我市鱼胶产业的标准化、规模化发展具有重要的意义。</w:t>
      </w:r>
    </w:p>
    <w:p>
      <w:pPr>
        <w:adjustRightInd w:val="0"/>
        <w:snapToGrid w:val="0"/>
        <w:spacing w:line="52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宋体"/>
          <w:sz w:val="32"/>
          <w:szCs w:val="32"/>
        </w:rPr>
        <w:t>六、</w:t>
      </w:r>
      <w:r>
        <w:rPr>
          <w:rFonts w:hint="eastAsia" w:ascii="楷体" w:hAnsi="楷体" w:eastAsia="楷体"/>
          <w:color w:val="000000" w:themeColor="text1"/>
          <w:sz w:val="32"/>
          <w:szCs w:val="32"/>
          <w14:textFill>
            <w14:solidFill>
              <w14:schemeClr w14:val="tx1"/>
            </w14:solidFill>
          </w14:textFill>
        </w:rPr>
        <w:t>重大分歧意见的处理经过、结果和依据</w:t>
      </w:r>
    </w:p>
    <w:p>
      <w:pPr>
        <w:spacing w:line="52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在制修订本标准过程中，未产生重大分歧。</w:t>
      </w:r>
    </w:p>
    <w:p>
      <w:pPr>
        <w:adjustRightInd w:val="0"/>
        <w:snapToGrid w:val="0"/>
        <w:spacing w:line="52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s="宋体"/>
          <w:sz w:val="32"/>
          <w:szCs w:val="32"/>
        </w:rPr>
        <w:t>七、</w:t>
      </w:r>
      <w:r>
        <w:rPr>
          <w:rFonts w:hint="eastAsia" w:ascii="楷体" w:hAnsi="楷体" w:eastAsia="楷体"/>
          <w:color w:val="000000" w:themeColor="text1"/>
          <w:sz w:val="32"/>
          <w:szCs w:val="32"/>
          <w14:textFill>
            <w14:solidFill>
              <w14:schemeClr w14:val="tx1"/>
            </w14:solidFill>
          </w14:textFill>
        </w:rPr>
        <w:t>贯彻国家、省、市地方标准的要求和措施建议</w:t>
      </w:r>
    </w:p>
    <w:p>
      <w:pPr>
        <w:adjustRightInd w:val="0"/>
        <w:snapToGrid w:val="0"/>
        <w:spacing w:line="52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rPr>
        <w:t>标准作为生产、加工、经营者参考的重要依据，建议标准颁布后，利用各种媒体加大宣传力度</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在目标推广区域对相关技术人员进行集中培训，以加快标准的推广和使用。此外，标准的内容可免费挂在网络、电视等媒体上，便于生产者随时查看，只有这样才有利于实现标准化和产业化</w:t>
      </w:r>
      <w:r>
        <w:rPr>
          <w:rFonts w:hint="eastAsia" w:ascii="仿宋_GB2312" w:hAnsi="宋体" w:eastAsia="仿宋_GB2312" w:cs="宋体"/>
          <w:sz w:val="32"/>
          <w:szCs w:val="32"/>
          <w:lang w:eastAsia="zh-CN"/>
        </w:rPr>
        <w:t>。</w:t>
      </w:r>
    </w:p>
    <w:p>
      <w:pPr>
        <w:adjustRightInd w:val="0"/>
        <w:snapToGrid w:val="0"/>
        <w:spacing w:line="520" w:lineRule="exact"/>
        <w:ind w:firstLine="640" w:firstLineChars="200"/>
        <w:rPr>
          <w:rFonts w:hint="eastAsia"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八、其他应予说明的事项。</w:t>
      </w:r>
    </w:p>
    <w:p>
      <w:pPr>
        <w:spacing w:line="520" w:lineRule="exact"/>
        <w:ind w:firstLine="640" w:firstLineChars="200"/>
        <w:rPr>
          <w:rFonts w:ascii="宋体" w:hAnsi="宋体" w:cs="宋体"/>
          <w:sz w:val="28"/>
          <w:szCs w:val="28"/>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hint="eastAsia" w:ascii="仿宋_GB2312" w:hAnsi="宋体" w:eastAsia="仿宋_GB2312" w:cs="宋体"/>
          <w:sz w:val="32"/>
          <w:szCs w:val="32"/>
        </w:rPr>
        <w:t xml:space="preserve"> 无。</w:t>
      </w:r>
    </w:p>
    <w:p>
      <w:pPr>
        <w:spacing w:line="520" w:lineRule="exact"/>
        <w:ind w:firstLine="640" w:firstLineChars="200"/>
        <w:rPr>
          <w:rFonts w:ascii="仿宋_GB2312" w:eastAsia="仿宋_GB2312" w:hAnsiTheme="majorEastAsia"/>
          <w:sz w:val="32"/>
          <w:szCs w:val="32"/>
        </w:rPr>
      </w:pPr>
    </w:p>
    <w:p>
      <w:pPr>
        <w:rPr>
          <w:rFonts w:asciiTheme="majorEastAsia" w:hAnsiTheme="majorEastAsia" w:eastAsiaTheme="majorEastAsia"/>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379222"/>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41C1B"/>
    <w:multiLevelType w:val="singleLevel"/>
    <w:tmpl w:val="81241C1B"/>
    <w:lvl w:ilvl="0" w:tentative="0">
      <w:start w:val="1"/>
      <w:numFmt w:val="decimal"/>
      <w:suff w:val="nothing"/>
      <w:lvlText w:val="%1）"/>
      <w:lvlJc w:val="left"/>
    </w:lvl>
  </w:abstractNum>
  <w:abstractNum w:abstractNumId="1">
    <w:nsid w:val="18EC317F"/>
    <w:multiLevelType w:val="singleLevel"/>
    <w:tmpl w:val="18EC317F"/>
    <w:lvl w:ilvl="0" w:tentative="0">
      <w:start w:val="5"/>
      <w:numFmt w:val="chineseCounting"/>
      <w:suff w:val="nothing"/>
      <w:lvlText w:val="%1、"/>
      <w:lvlJc w:val="left"/>
      <w:rPr>
        <w:rFonts w:hint="eastAsia"/>
      </w:rPr>
    </w:lvl>
  </w:abstractNum>
  <w:abstractNum w:abstractNumId="2">
    <w:nsid w:val="336AE439"/>
    <w:multiLevelType w:val="singleLevel"/>
    <w:tmpl w:val="336AE439"/>
    <w:lvl w:ilvl="0" w:tentative="0">
      <w:start w:val="3"/>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0"/>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99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jk1OGNlNGUxMWI3OGY5NWM1ZmIzOGMwMDE1MDIifQ=="/>
  </w:docVars>
  <w:rsids>
    <w:rsidRoot w:val="000A5307"/>
    <w:rsid w:val="00010E4B"/>
    <w:rsid w:val="000A5307"/>
    <w:rsid w:val="000D6853"/>
    <w:rsid w:val="001611D8"/>
    <w:rsid w:val="001A2968"/>
    <w:rsid w:val="002548D0"/>
    <w:rsid w:val="002765D6"/>
    <w:rsid w:val="002E53FE"/>
    <w:rsid w:val="002F06DE"/>
    <w:rsid w:val="00434882"/>
    <w:rsid w:val="00441373"/>
    <w:rsid w:val="00496E9D"/>
    <w:rsid w:val="00500310"/>
    <w:rsid w:val="0054775A"/>
    <w:rsid w:val="005B3CFE"/>
    <w:rsid w:val="005B60E1"/>
    <w:rsid w:val="005D43C7"/>
    <w:rsid w:val="005F5F79"/>
    <w:rsid w:val="00726213"/>
    <w:rsid w:val="007B2B4F"/>
    <w:rsid w:val="007D03ED"/>
    <w:rsid w:val="007E0BAA"/>
    <w:rsid w:val="0080470C"/>
    <w:rsid w:val="00824FE1"/>
    <w:rsid w:val="00864206"/>
    <w:rsid w:val="00876346"/>
    <w:rsid w:val="0093296B"/>
    <w:rsid w:val="00984178"/>
    <w:rsid w:val="00A82579"/>
    <w:rsid w:val="00BA705B"/>
    <w:rsid w:val="00BB6DDE"/>
    <w:rsid w:val="00D01469"/>
    <w:rsid w:val="00D24E06"/>
    <w:rsid w:val="00D558DF"/>
    <w:rsid w:val="00E457EF"/>
    <w:rsid w:val="011F2DE3"/>
    <w:rsid w:val="01675734"/>
    <w:rsid w:val="01910A08"/>
    <w:rsid w:val="01D17056"/>
    <w:rsid w:val="01E22C18"/>
    <w:rsid w:val="01E943A0"/>
    <w:rsid w:val="01F80A87"/>
    <w:rsid w:val="025A6580"/>
    <w:rsid w:val="03553717"/>
    <w:rsid w:val="03596EFB"/>
    <w:rsid w:val="03922815"/>
    <w:rsid w:val="04001E75"/>
    <w:rsid w:val="04A47A46"/>
    <w:rsid w:val="050F05C1"/>
    <w:rsid w:val="054B5371"/>
    <w:rsid w:val="05883ED0"/>
    <w:rsid w:val="06F061D0"/>
    <w:rsid w:val="078B414B"/>
    <w:rsid w:val="08017F69"/>
    <w:rsid w:val="08674270"/>
    <w:rsid w:val="089D5EE4"/>
    <w:rsid w:val="0A4A5BF8"/>
    <w:rsid w:val="0A4E41C6"/>
    <w:rsid w:val="0B492353"/>
    <w:rsid w:val="0BA82242"/>
    <w:rsid w:val="0C160487"/>
    <w:rsid w:val="0C640853"/>
    <w:rsid w:val="0CE51C08"/>
    <w:rsid w:val="0CFA76D1"/>
    <w:rsid w:val="0CFD33F5"/>
    <w:rsid w:val="0D4903E8"/>
    <w:rsid w:val="0E680D42"/>
    <w:rsid w:val="0F261E0E"/>
    <w:rsid w:val="0FCE72CB"/>
    <w:rsid w:val="0FE60171"/>
    <w:rsid w:val="104A4161"/>
    <w:rsid w:val="10DB57FB"/>
    <w:rsid w:val="121F3E0E"/>
    <w:rsid w:val="126E1DC4"/>
    <w:rsid w:val="12723F3D"/>
    <w:rsid w:val="12D9220E"/>
    <w:rsid w:val="13C20EF5"/>
    <w:rsid w:val="13D16585"/>
    <w:rsid w:val="14C60571"/>
    <w:rsid w:val="14D05CA0"/>
    <w:rsid w:val="15121A08"/>
    <w:rsid w:val="155838BF"/>
    <w:rsid w:val="15ED1E7C"/>
    <w:rsid w:val="16695657"/>
    <w:rsid w:val="16704C38"/>
    <w:rsid w:val="16806ED9"/>
    <w:rsid w:val="16EC539B"/>
    <w:rsid w:val="17966920"/>
    <w:rsid w:val="17AD77C6"/>
    <w:rsid w:val="17D66D1D"/>
    <w:rsid w:val="190F698A"/>
    <w:rsid w:val="191726F1"/>
    <w:rsid w:val="19355CC5"/>
    <w:rsid w:val="1986418C"/>
    <w:rsid w:val="19AD7F51"/>
    <w:rsid w:val="19EA4928"/>
    <w:rsid w:val="1A18361C"/>
    <w:rsid w:val="1A9C424D"/>
    <w:rsid w:val="1AE654C9"/>
    <w:rsid w:val="1B6C1D4B"/>
    <w:rsid w:val="1B7725C5"/>
    <w:rsid w:val="1C550B58"/>
    <w:rsid w:val="1C56042C"/>
    <w:rsid w:val="1C6568C1"/>
    <w:rsid w:val="1C8C02F2"/>
    <w:rsid w:val="1D126A49"/>
    <w:rsid w:val="1D130288"/>
    <w:rsid w:val="1D1F4CC2"/>
    <w:rsid w:val="1D7768AC"/>
    <w:rsid w:val="1E020C71"/>
    <w:rsid w:val="1E6824F7"/>
    <w:rsid w:val="1E724D0C"/>
    <w:rsid w:val="1EF03363"/>
    <w:rsid w:val="1F422EEA"/>
    <w:rsid w:val="1F8F4381"/>
    <w:rsid w:val="1FC102B2"/>
    <w:rsid w:val="20014B53"/>
    <w:rsid w:val="20087C85"/>
    <w:rsid w:val="20322F5E"/>
    <w:rsid w:val="212E5E1B"/>
    <w:rsid w:val="21330763"/>
    <w:rsid w:val="218B501C"/>
    <w:rsid w:val="221C3EC6"/>
    <w:rsid w:val="2230099E"/>
    <w:rsid w:val="22386CFF"/>
    <w:rsid w:val="22590C76"/>
    <w:rsid w:val="22EF3388"/>
    <w:rsid w:val="234C4337"/>
    <w:rsid w:val="237D2742"/>
    <w:rsid w:val="23A3664D"/>
    <w:rsid w:val="23B87C1E"/>
    <w:rsid w:val="240D1D18"/>
    <w:rsid w:val="2446522A"/>
    <w:rsid w:val="24AC4908"/>
    <w:rsid w:val="24F15196"/>
    <w:rsid w:val="25872508"/>
    <w:rsid w:val="25AC5561"/>
    <w:rsid w:val="25E67AD2"/>
    <w:rsid w:val="25F0544D"/>
    <w:rsid w:val="26775B6F"/>
    <w:rsid w:val="26D466E6"/>
    <w:rsid w:val="276109B9"/>
    <w:rsid w:val="27736336"/>
    <w:rsid w:val="27D74B17"/>
    <w:rsid w:val="27E1436B"/>
    <w:rsid w:val="28096C9A"/>
    <w:rsid w:val="285048C9"/>
    <w:rsid w:val="28900897"/>
    <w:rsid w:val="29312005"/>
    <w:rsid w:val="2939710B"/>
    <w:rsid w:val="2978071F"/>
    <w:rsid w:val="2AAF3B29"/>
    <w:rsid w:val="2AB078A1"/>
    <w:rsid w:val="2D654AC4"/>
    <w:rsid w:val="2DB33930"/>
    <w:rsid w:val="2E786928"/>
    <w:rsid w:val="2F2A5E74"/>
    <w:rsid w:val="2FC736C3"/>
    <w:rsid w:val="2FF81ACE"/>
    <w:rsid w:val="30297EDA"/>
    <w:rsid w:val="3058256D"/>
    <w:rsid w:val="30915A7F"/>
    <w:rsid w:val="309605D0"/>
    <w:rsid w:val="31903F88"/>
    <w:rsid w:val="31B732C3"/>
    <w:rsid w:val="31DB3455"/>
    <w:rsid w:val="324E57AA"/>
    <w:rsid w:val="33E81E5A"/>
    <w:rsid w:val="343E7CCC"/>
    <w:rsid w:val="347B2CCE"/>
    <w:rsid w:val="34A51AF9"/>
    <w:rsid w:val="34B13E1F"/>
    <w:rsid w:val="356D6ABA"/>
    <w:rsid w:val="359E296F"/>
    <w:rsid w:val="36B44275"/>
    <w:rsid w:val="372E794B"/>
    <w:rsid w:val="37533A8E"/>
    <w:rsid w:val="37B502A5"/>
    <w:rsid w:val="37E62B54"/>
    <w:rsid w:val="38397128"/>
    <w:rsid w:val="386046B4"/>
    <w:rsid w:val="3A176504"/>
    <w:rsid w:val="3B0E1700"/>
    <w:rsid w:val="3CF47AC1"/>
    <w:rsid w:val="3D2739F3"/>
    <w:rsid w:val="3D510A70"/>
    <w:rsid w:val="3ED01E68"/>
    <w:rsid w:val="3F696545"/>
    <w:rsid w:val="3F744EE9"/>
    <w:rsid w:val="3FC574F3"/>
    <w:rsid w:val="405D772B"/>
    <w:rsid w:val="4081166C"/>
    <w:rsid w:val="4100750C"/>
    <w:rsid w:val="411E335F"/>
    <w:rsid w:val="415466B3"/>
    <w:rsid w:val="41EC0B70"/>
    <w:rsid w:val="42507548"/>
    <w:rsid w:val="425A77EF"/>
    <w:rsid w:val="42666D6B"/>
    <w:rsid w:val="42A81132"/>
    <w:rsid w:val="432A5FEB"/>
    <w:rsid w:val="43364990"/>
    <w:rsid w:val="43FB7987"/>
    <w:rsid w:val="44093E52"/>
    <w:rsid w:val="44154AD4"/>
    <w:rsid w:val="442742D8"/>
    <w:rsid w:val="456A4DC4"/>
    <w:rsid w:val="45941E41"/>
    <w:rsid w:val="462570E7"/>
    <w:rsid w:val="462A6302"/>
    <w:rsid w:val="4635309F"/>
    <w:rsid w:val="468C0B0C"/>
    <w:rsid w:val="46BD7176"/>
    <w:rsid w:val="473C62ED"/>
    <w:rsid w:val="476B0D05"/>
    <w:rsid w:val="48135339"/>
    <w:rsid w:val="481728B6"/>
    <w:rsid w:val="481903DC"/>
    <w:rsid w:val="489B5295"/>
    <w:rsid w:val="48A17595"/>
    <w:rsid w:val="49060DC5"/>
    <w:rsid w:val="491C63D6"/>
    <w:rsid w:val="497F6965"/>
    <w:rsid w:val="49883A6B"/>
    <w:rsid w:val="4A037596"/>
    <w:rsid w:val="4A0D412B"/>
    <w:rsid w:val="4B441C14"/>
    <w:rsid w:val="4C1B0BC7"/>
    <w:rsid w:val="4C2537F3"/>
    <w:rsid w:val="4E192EE4"/>
    <w:rsid w:val="4F053468"/>
    <w:rsid w:val="4F075432"/>
    <w:rsid w:val="4FA90297"/>
    <w:rsid w:val="503009B9"/>
    <w:rsid w:val="51236B4C"/>
    <w:rsid w:val="51622DF4"/>
    <w:rsid w:val="516E3547"/>
    <w:rsid w:val="51A75CB7"/>
    <w:rsid w:val="535B5D4C"/>
    <w:rsid w:val="538928BA"/>
    <w:rsid w:val="538A6DD7"/>
    <w:rsid w:val="53980D4F"/>
    <w:rsid w:val="53C07677"/>
    <w:rsid w:val="53C27B7A"/>
    <w:rsid w:val="547E1046"/>
    <w:rsid w:val="54907C78"/>
    <w:rsid w:val="552D196B"/>
    <w:rsid w:val="55E77D6B"/>
    <w:rsid w:val="56026953"/>
    <w:rsid w:val="561471C5"/>
    <w:rsid w:val="563A433F"/>
    <w:rsid w:val="565151E5"/>
    <w:rsid w:val="56535401"/>
    <w:rsid w:val="571C3A45"/>
    <w:rsid w:val="57B82351"/>
    <w:rsid w:val="59574C6F"/>
    <w:rsid w:val="59EA607C"/>
    <w:rsid w:val="5A1A070F"/>
    <w:rsid w:val="5A8D7133"/>
    <w:rsid w:val="5A9A35FE"/>
    <w:rsid w:val="5AEB3E5A"/>
    <w:rsid w:val="5AF56A87"/>
    <w:rsid w:val="5BC36B85"/>
    <w:rsid w:val="5C142F3C"/>
    <w:rsid w:val="5D537A94"/>
    <w:rsid w:val="5D647EF4"/>
    <w:rsid w:val="5D8A795A"/>
    <w:rsid w:val="5DE515AF"/>
    <w:rsid w:val="612A55E1"/>
    <w:rsid w:val="61371BA7"/>
    <w:rsid w:val="615F2EAC"/>
    <w:rsid w:val="621B701D"/>
    <w:rsid w:val="630737FB"/>
    <w:rsid w:val="631B72A6"/>
    <w:rsid w:val="63CB65D6"/>
    <w:rsid w:val="64041AE8"/>
    <w:rsid w:val="64340620"/>
    <w:rsid w:val="64A71486"/>
    <w:rsid w:val="64BB2AEF"/>
    <w:rsid w:val="64F23058"/>
    <w:rsid w:val="65584E93"/>
    <w:rsid w:val="658446A9"/>
    <w:rsid w:val="66A01F9C"/>
    <w:rsid w:val="66DC0AFB"/>
    <w:rsid w:val="674858B4"/>
    <w:rsid w:val="67696832"/>
    <w:rsid w:val="682D5AB2"/>
    <w:rsid w:val="68442DFB"/>
    <w:rsid w:val="68F760C0"/>
    <w:rsid w:val="692F13B6"/>
    <w:rsid w:val="69C53AC8"/>
    <w:rsid w:val="6A2133F4"/>
    <w:rsid w:val="6A454539"/>
    <w:rsid w:val="6B4B624F"/>
    <w:rsid w:val="6B59096C"/>
    <w:rsid w:val="6C3311BD"/>
    <w:rsid w:val="6C382C77"/>
    <w:rsid w:val="6C5706BC"/>
    <w:rsid w:val="6D24691E"/>
    <w:rsid w:val="6D9739CD"/>
    <w:rsid w:val="6EC85AF0"/>
    <w:rsid w:val="6EFA3169"/>
    <w:rsid w:val="6F305E87"/>
    <w:rsid w:val="6F6B5112"/>
    <w:rsid w:val="6FE0340A"/>
    <w:rsid w:val="70461D30"/>
    <w:rsid w:val="70A31170"/>
    <w:rsid w:val="71834994"/>
    <w:rsid w:val="722F2426"/>
    <w:rsid w:val="724C4D86"/>
    <w:rsid w:val="72B96E6C"/>
    <w:rsid w:val="72C15774"/>
    <w:rsid w:val="732B7B77"/>
    <w:rsid w:val="73555C1D"/>
    <w:rsid w:val="7375655F"/>
    <w:rsid w:val="738427F9"/>
    <w:rsid w:val="73AB346A"/>
    <w:rsid w:val="73B50636"/>
    <w:rsid w:val="742C30C1"/>
    <w:rsid w:val="766116FF"/>
    <w:rsid w:val="76A92DB6"/>
    <w:rsid w:val="76B92C06"/>
    <w:rsid w:val="7B234AF2"/>
    <w:rsid w:val="7B9A1258"/>
    <w:rsid w:val="7C0D691A"/>
    <w:rsid w:val="7C606FE5"/>
    <w:rsid w:val="7D2F59D0"/>
    <w:rsid w:val="7E5A082B"/>
    <w:rsid w:val="7E955D07"/>
    <w:rsid w:val="7ED35879"/>
    <w:rsid w:val="7FC8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paragraph" w:customStyle="1" w:styleId="9">
    <w:name w:val="段"/>
    <w:qFormat/>
    <w:uiPriority w:val="0"/>
    <w:pPr>
      <w:autoSpaceDE w:val="0"/>
      <w:autoSpaceDN w:val="0"/>
      <w:spacing w:line="240" w:lineRule="auto"/>
      <w:ind w:firstLine="200" w:firstLineChars="200"/>
      <w:jc w:val="both"/>
    </w:pPr>
    <w:rPr>
      <w:rFonts w:ascii="宋体" w:hAnsi="Calibri" w:eastAsia="宋体" w:cs="Times New Roman"/>
      <w:kern w:val="0"/>
      <w:sz w:val="21"/>
      <w:szCs w:val="20"/>
      <w:lang w:val="en-US" w:eastAsia="zh-CN" w:bidi="ar-SA"/>
    </w:rPr>
  </w:style>
  <w:style w:type="paragraph" w:customStyle="1" w:styleId="10">
    <w:name w:val="标准文件_章标题"/>
    <w:next w:val="1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4.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3067</Words>
  <Characters>3213</Characters>
  <Lines>10</Lines>
  <Paragraphs>2</Paragraphs>
  <TotalTime>13</TotalTime>
  <ScaleCrop>false</ScaleCrop>
  <LinksUpToDate>false</LinksUpToDate>
  <CharactersWithSpaces>3255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2020-12-24T02:27:00Z</dcterms:created>
  <dc:creator>Administrator</dc:creator>
  <cp:lastModifiedBy>林帆</cp:lastModifiedBy>
  <cp:lastPrinted>2021-10-19T08:46:00Z</cp:lastPrinted>
  <dcterms:modified xsi:type="dcterms:W3CDTF">2022-11-15T12:24:32Z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5643031E26E34DEC891F18CE820D07AC</vt:lpwstr>
  </property>
</Properties>
</file>