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汕头市社会艺术水平考级行政处罚自由裁量权细化标准</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(共11项）</w:t>
      </w:r>
    </w:p>
    <w:p>
      <w:pPr>
        <w:rPr>
          <w:rFonts w:ascii="仿宋_GB2312" w:eastAsia="仿宋_GB2312"/>
          <w:color w:val="000000" w:themeColor="text1"/>
          <w:sz w:val="21"/>
          <w:szCs w:val="21"/>
          <w14:textFill>
            <w14:solidFill>
              <w14:schemeClr w14:val="tx1"/>
            </w14:solidFill>
          </w14:textFill>
        </w:rPr>
      </w:pPr>
    </w:p>
    <w:tbl>
      <w:tblPr>
        <w:tblStyle w:val="4"/>
        <w:tblW w:w="4599" w:type="pct"/>
        <w:jc w:val="center"/>
        <w:tblLayout w:type="autofit"/>
        <w:tblCellMar>
          <w:top w:w="15" w:type="dxa"/>
          <w:left w:w="15" w:type="dxa"/>
          <w:bottom w:w="0" w:type="dxa"/>
          <w:right w:w="15" w:type="dxa"/>
        </w:tblCellMar>
      </w:tblPr>
      <w:tblGrid>
        <w:gridCol w:w="241"/>
        <w:gridCol w:w="1553"/>
        <w:gridCol w:w="714"/>
        <w:gridCol w:w="237"/>
        <w:gridCol w:w="2681"/>
        <w:gridCol w:w="865"/>
        <w:gridCol w:w="363"/>
        <w:gridCol w:w="353"/>
        <w:gridCol w:w="1347"/>
        <w:gridCol w:w="1380"/>
        <w:gridCol w:w="1380"/>
        <w:gridCol w:w="1398"/>
        <w:gridCol w:w="354"/>
      </w:tblGrid>
      <w:tr>
        <w:tblPrEx>
          <w:tblCellMar>
            <w:top w:w="15" w:type="dxa"/>
            <w:left w:w="15" w:type="dxa"/>
            <w:bottom w:w="0" w:type="dxa"/>
            <w:right w:w="15" w:type="dxa"/>
          </w:tblCellMar>
        </w:tblPrEx>
        <w:trPr>
          <w:trHeight w:val="519" w:hRule="atLeast"/>
          <w:jc w:val="center"/>
        </w:trPr>
        <w:tc>
          <w:tcPr>
            <w:tcW w:w="47"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序号</w:t>
            </w:r>
          </w:p>
        </w:tc>
        <w:tc>
          <w:tcPr>
            <w:tcW w:w="607"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违法行为</w:t>
            </w:r>
          </w:p>
        </w:tc>
        <w:tc>
          <w:tcPr>
            <w:tcW w:w="377" w:type="pct"/>
            <w:gridSpan w:val="2"/>
            <w:vMerge w:val="restart"/>
            <w:tcBorders>
              <w:top w:val="single" w:color="auto" w:sz="4" w:space="0"/>
              <w:left w:val="nil"/>
              <w:right w:val="single" w:color="auto" w:sz="4" w:space="0"/>
            </w:tcBorders>
            <w:shd w:val="clear" w:color="auto" w:fill="auto"/>
            <w:vAlign w:val="center"/>
          </w:tcPr>
          <w:p>
            <w:pPr>
              <w:jc w:val="center"/>
              <w:rPr>
                <w:rFonts w:hint="eastAsia" w:ascii="仿宋_GB2312" w:eastAsia="仿宋_GB2312"/>
                <w:b/>
                <w:bCs/>
                <w:color w:val="000000" w:themeColor="text1"/>
                <w:sz w:val="21"/>
                <w:szCs w:val="21"/>
                <w:lang w:eastAsia="zh-CN"/>
                <w14:textFill>
                  <w14:solidFill>
                    <w14:schemeClr w14:val="tx1"/>
                  </w14:solidFill>
                </w14:textFill>
              </w:rPr>
            </w:pPr>
            <w:r>
              <w:rPr>
                <w:rFonts w:hint="eastAsia" w:ascii="仿宋_GB2312" w:eastAsia="仿宋_GB2312"/>
                <w:b/>
                <w:bCs/>
                <w:color w:val="000000" w:themeColor="text1"/>
                <w:sz w:val="21"/>
                <w:szCs w:val="21"/>
                <w:lang w:eastAsia="zh-CN"/>
                <w14:textFill>
                  <w14:solidFill>
                    <w14:schemeClr w14:val="tx1"/>
                  </w14:solidFill>
                </w14:textFill>
              </w:rPr>
              <w:t>违则</w:t>
            </w:r>
          </w:p>
        </w:tc>
        <w:tc>
          <w:tcPr>
            <w:tcW w:w="2198" w:type="pct"/>
            <w:gridSpan w:val="5"/>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lang w:eastAsia="zh-CN"/>
                <w14:textFill>
                  <w14:solidFill>
                    <w14:schemeClr w14:val="tx1"/>
                  </w14:solidFill>
                </w14:textFill>
              </w:rPr>
              <w:t>处罚</w:t>
            </w:r>
            <w:r>
              <w:rPr>
                <w:rFonts w:hint="eastAsia" w:ascii="仿宋_GB2312" w:eastAsia="仿宋_GB2312"/>
                <w:b/>
                <w:bCs/>
                <w:color w:val="000000" w:themeColor="text1"/>
                <w:sz w:val="21"/>
                <w:szCs w:val="21"/>
                <w14:textFill>
                  <w14:solidFill>
                    <w14:schemeClr w14:val="tx1"/>
                  </w14:solidFill>
                </w14:textFill>
              </w:rPr>
              <w:t>依据</w:t>
            </w:r>
          </w:p>
        </w:tc>
        <w:tc>
          <w:tcPr>
            <w:tcW w:w="1627"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裁量标准</w:t>
            </w:r>
          </w:p>
        </w:tc>
        <w:tc>
          <w:tcPr>
            <w:tcW w:w="141"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备注</w:t>
            </w:r>
          </w:p>
        </w:tc>
      </w:tr>
      <w:tr>
        <w:tblPrEx>
          <w:tblCellMar>
            <w:top w:w="15" w:type="dxa"/>
            <w:left w:w="15" w:type="dxa"/>
            <w:bottom w:w="0" w:type="dxa"/>
            <w:right w:w="15" w:type="dxa"/>
          </w:tblCellMar>
        </w:tblPrEx>
        <w:trPr>
          <w:trHeight w:val="423" w:hRule="atLeast"/>
          <w:jc w:val="center"/>
        </w:trPr>
        <w:tc>
          <w:tcPr>
            <w:tcW w:w="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607"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377" w:type="pct"/>
            <w:gridSpan w:val="2"/>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2198" w:type="pct"/>
            <w:gridSpan w:val="5"/>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5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从轻行政处罚</w:t>
            </w:r>
          </w:p>
        </w:tc>
        <w:tc>
          <w:tcPr>
            <w:tcW w:w="5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一般行政处罚</w:t>
            </w:r>
          </w:p>
        </w:tc>
        <w:tc>
          <w:tcPr>
            <w:tcW w:w="54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从重行政处罚</w:t>
            </w:r>
          </w:p>
        </w:tc>
        <w:tc>
          <w:tcPr>
            <w:tcW w:w="141"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未经批准擅自开办艺术考级活动</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《社会艺术水平考级管理办法》第九条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《社会艺术水平考级管理办法》第二十四条：未经批准擅自开办艺术考级活动的，由县级以上文化行政部门或者文化市场综合执法机构责令停止违法活动，并处10000元以上30000元以下罚款。</w:t>
            </w:r>
          </w:p>
        </w:tc>
        <w:tc>
          <w:tcPr>
            <w:tcW w:w="540" w:type="pct"/>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1年内第1次被查处，具有从轻情节的，并处罚款10000元。 </w:t>
            </w:r>
          </w:p>
        </w:tc>
        <w:tc>
          <w:tcPr>
            <w:tcW w:w="540" w:type="pct"/>
            <w:tcBorders>
              <w:top w:val="nil"/>
              <w:left w:val="nil"/>
              <w:bottom w:val="single" w:color="auto" w:sz="4" w:space="0"/>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1年内第1次被查处，并处罚款16000元；</w:t>
            </w:r>
          </w:p>
          <w:p>
            <w:pPr>
              <w:jc w:val="left"/>
              <w:rPr>
                <w:rFonts w:hint="default"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1年内第2次被查处，并处罚款20000元。</w:t>
            </w:r>
          </w:p>
        </w:tc>
        <w:tc>
          <w:tcPr>
            <w:tcW w:w="546" w:type="pct"/>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1年内第1次被查处，具有从重情节的，并处罚款24000元； </w:t>
            </w:r>
          </w:p>
          <w:p>
            <w:pPr>
              <w:jc w:val="left"/>
              <w:rPr>
                <w:rFonts w:hint="default"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仿宋_GB2312" w:hAnsi="仿宋" w:eastAsia="仿宋_GB2312"/>
                <w:color w:val="000000" w:themeColor="text1"/>
                <w:sz w:val="21"/>
                <w:szCs w:val="21"/>
                <w:lang w:val="en-US" w:eastAsia="zh-CN"/>
                <w14:textFill>
                  <w14:solidFill>
                    <w14:schemeClr w14:val="tx1"/>
                  </w14:solidFill>
                </w14:textFill>
              </w:rPr>
              <w:t>1年内第2次被查处，具有从重情节的，并处罚款26000元；</w:t>
            </w:r>
          </w:p>
          <w:p>
            <w:pPr>
              <w:rPr>
                <w:rFonts w:hint="eastAsia"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③</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w:t>
            </w:r>
            <w:r>
              <w:rPr>
                <w:rFonts w:hint="eastAsia" w:ascii="仿宋_GB2312" w:hAnsi="仿宋" w:eastAsia="仿宋_GB2312"/>
                <w:color w:val="000000" w:themeColor="text1"/>
                <w:sz w:val="21"/>
                <w:szCs w:val="21"/>
                <w:lang w:val="en-US" w:eastAsia="zh-CN"/>
                <w14:textFill>
                  <w14:solidFill>
                    <w14:schemeClr w14:val="tx1"/>
                  </w14:solidFill>
                </w14:textFill>
              </w:rPr>
              <w:t>并处罚款28000元；</w:t>
            </w:r>
          </w:p>
          <w:p>
            <w:pPr>
              <w:rPr>
                <w:rFonts w:hint="eastAsia"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④</w:t>
            </w:r>
            <w:r>
              <w:rPr>
                <w:rFonts w:hint="eastAsia" w:ascii="仿宋_GB2312" w:hAnsi="仿宋"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并处罚款30000元。</w:t>
            </w:r>
          </w:p>
        </w:tc>
        <w:tc>
          <w:tcPr>
            <w:tcW w:w="141"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组织艺术考级活动前未向社会发布考级简章或考级简章内容不符合规定</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《社会艺术水平考级管理办法》第十五条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w:t>
            </w:r>
          </w:p>
        </w:tc>
        <w:tc>
          <w:tcPr>
            <w:tcW w:w="540" w:type="pct"/>
            <w:vMerge w:val="restart"/>
            <w:tcBorders>
              <w:top w:val="nil"/>
              <w:left w:val="nil"/>
              <w:right w:val="single" w:color="auto" w:sz="4" w:space="0"/>
            </w:tcBorders>
            <w:shd w:val="clear" w:color="auto" w:fill="auto"/>
            <w:vAlign w:val="center"/>
          </w:tcPr>
          <w:p>
            <w:pPr>
              <w:jc w:val="left"/>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1年内第1次被查处，具有从轻情节的，给予警告，并处罚款2000元。 </w:t>
            </w:r>
          </w:p>
        </w:tc>
        <w:tc>
          <w:tcPr>
            <w:tcW w:w="540" w:type="pct"/>
            <w:vMerge w:val="restart"/>
            <w:tcBorders>
              <w:top w:val="nil"/>
              <w:left w:val="nil"/>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1年内第1次被查处，给予警告，并处罚款4000元；</w:t>
            </w:r>
          </w:p>
          <w:p>
            <w:pPr>
              <w:rPr>
                <w:rFonts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1年内第2次被查处，给予警告，并处罚款6000元。</w:t>
            </w:r>
          </w:p>
        </w:tc>
        <w:tc>
          <w:tcPr>
            <w:tcW w:w="546" w:type="pct"/>
            <w:vMerge w:val="restart"/>
            <w:tcBorders>
              <w:top w:val="nil"/>
              <w:left w:val="nil"/>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1年内第1次被查处，具有从重情节的，给予警告，并处罚款7000元；</w:t>
            </w:r>
          </w:p>
          <w:p>
            <w:pPr>
              <w:jc w:val="left"/>
              <w:rPr>
                <w:rFonts w:hint="default" w:ascii="Calibri" w:hAnsi="Calibri" w:eastAsia="仿宋_GB2312" w:cs="Calibri"/>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仿宋_GB2312" w:hAnsi="仿宋" w:eastAsia="仿宋_GB2312"/>
                <w:color w:val="000000" w:themeColor="text1"/>
                <w:sz w:val="21"/>
                <w:szCs w:val="21"/>
                <w:lang w:val="en-US" w:eastAsia="zh-CN"/>
                <w14:textFill>
                  <w14:solidFill>
                    <w14:schemeClr w14:val="tx1"/>
                  </w14:solidFill>
                </w14:textFill>
              </w:rPr>
              <w:t>1年内第2次被查处，具有从重情节的，给予警告，并处罚款8000元；</w:t>
            </w:r>
          </w:p>
          <w:p>
            <w:pPr>
              <w:rPr>
                <w:rFonts w:hint="eastAsia" w:ascii="仿宋_GB2312" w:hAnsi="仿宋"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③</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1年内第3次被查处，给予警告，</w:t>
            </w:r>
            <w:r>
              <w:rPr>
                <w:rFonts w:hint="eastAsia" w:ascii="仿宋_GB2312" w:hAnsi="仿宋" w:eastAsia="仿宋_GB2312"/>
                <w:color w:val="000000" w:themeColor="text1"/>
                <w:sz w:val="21"/>
                <w:szCs w:val="21"/>
                <w:lang w:eastAsia="zh-CN"/>
                <w14:textFill>
                  <w14:solidFill>
                    <w14:schemeClr w14:val="tx1"/>
                  </w14:solidFill>
                </w14:textFill>
              </w:rPr>
              <w:t>并处</w:t>
            </w:r>
            <w:r>
              <w:rPr>
                <w:rFonts w:hint="eastAsia" w:ascii="仿宋_GB2312" w:hAnsi="仿宋" w:eastAsia="仿宋_GB2312"/>
                <w:color w:val="000000" w:themeColor="text1"/>
                <w:sz w:val="21"/>
                <w:szCs w:val="21"/>
                <w14:textFill>
                  <w14:solidFill>
                    <w14:schemeClr w14:val="tx1"/>
                  </w14:solidFill>
                </w14:textFill>
              </w:rPr>
              <w:t>罚款</w:t>
            </w:r>
            <w:r>
              <w:rPr>
                <w:rFonts w:hint="eastAsia" w:ascii="仿宋_GB2312" w:hAnsi="仿宋" w:eastAsia="仿宋_GB2312"/>
                <w:color w:val="000000" w:themeColor="text1"/>
                <w:sz w:val="21"/>
                <w:szCs w:val="21"/>
                <w:lang w:val="en-US" w:eastAsia="zh-CN"/>
                <w14:textFill>
                  <w14:solidFill>
                    <w14:schemeClr w14:val="tx1"/>
                  </w14:solidFill>
                </w14:textFill>
              </w:rPr>
              <w:t>9000</w:t>
            </w:r>
            <w:r>
              <w:rPr>
                <w:rFonts w:hint="eastAsia" w:ascii="仿宋_GB2312" w:hAnsi="仿宋" w:eastAsia="仿宋_GB2312"/>
                <w:color w:val="000000" w:themeColor="text1"/>
                <w:sz w:val="21"/>
                <w:szCs w:val="21"/>
                <w14:textFill>
                  <w14:solidFill>
                    <w14:schemeClr w14:val="tx1"/>
                  </w14:solidFill>
                </w14:textFill>
              </w:rPr>
              <w:t>元</w:t>
            </w:r>
            <w:r>
              <w:rPr>
                <w:rFonts w:hint="eastAsia" w:ascii="仿宋_GB2312" w:hAnsi="仿宋" w:eastAsia="仿宋_GB2312"/>
                <w:color w:val="000000" w:themeColor="text1"/>
                <w:sz w:val="21"/>
                <w:szCs w:val="21"/>
                <w:lang w:eastAsia="zh-CN"/>
                <w14:textFill>
                  <w14:solidFill>
                    <w14:schemeClr w14:val="tx1"/>
                  </w14:solidFill>
                </w14:textFill>
              </w:rPr>
              <w:t>；</w:t>
            </w:r>
          </w:p>
          <w:p>
            <w:pPr>
              <w:rPr>
                <w:rFonts w:hint="eastAsia"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④</w:t>
            </w:r>
            <w:r>
              <w:rPr>
                <w:rFonts w:hint="eastAsia" w:ascii="仿宋_GB2312" w:hAnsi="仿宋"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hAnsi="仿宋" w:eastAsia="仿宋_GB2312"/>
                <w:color w:val="000000" w:themeColor="text1"/>
                <w:sz w:val="21"/>
                <w:szCs w:val="21"/>
                <w:lang w:eastAsia="zh-CN"/>
                <w14:textFill>
                  <w14:solidFill>
                    <w14:schemeClr w14:val="tx1"/>
                  </w14:solidFill>
                </w14:textFill>
              </w:rPr>
              <w:t>，给予警告，</w:t>
            </w:r>
            <w:r>
              <w:rPr>
                <w:rFonts w:hint="eastAsia" w:ascii="仿宋_GB2312" w:hAnsi="仿宋" w:eastAsia="仿宋_GB2312"/>
                <w:color w:val="000000" w:themeColor="text1"/>
                <w:sz w:val="21"/>
                <w:szCs w:val="21"/>
                <w:lang w:val="en-US" w:eastAsia="zh-CN"/>
                <w14:textFill>
                  <w14:solidFill>
                    <w14:schemeClr w14:val="tx1"/>
                  </w14:solidFill>
                </w14:textFill>
              </w:rPr>
              <w:t>并处罚款10000</w:t>
            </w:r>
            <w:bookmarkStart w:id="0" w:name="_GoBack"/>
            <w:bookmarkEnd w:id="0"/>
            <w:r>
              <w:rPr>
                <w:rFonts w:hint="eastAsia" w:ascii="仿宋_GB2312" w:hAnsi="仿宋" w:eastAsia="仿宋_GB2312"/>
                <w:color w:val="000000" w:themeColor="text1"/>
                <w:sz w:val="21"/>
                <w:szCs w:val="21"/>
                <w:lang w:val="en-US" w:eastAsia="zh-CN"/>
                <w14:textFill>
                  <w14:solidFill>
                    <w14:schemeClr w14:val="tx1"/>
                  </w14:solidFill>
                </w14:textFill>
              </w:rPr>
              <w:t>元。</w:t>
            </w:r>
          </w:p>
        </w:tc>
        <w:tc>
          <w:tcPr>
            <w:tcW w:w="141"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未按规定将承办单位的基本情况和合作协议备案</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《社会艺术水平考级管理办法》第十七条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二）未按规定将承办单位的基本情况和合作协议备案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4</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组织艺术考级活动未按规定将考级简章、考级时间、考级地点、考生数量、考场安排、考官名单等情况备案</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《社会艺术水平考级管理办法》第十八条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三）组织艺术考级活动未按规定将考级简章、考级时间、考级地点、考生数量、考场安排、考官名单等情况备案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5</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艺术考级活动结束后未按规定报送考级结果</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《社会艺术水平考级管理办法》第二十三条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四）艺术考级活动结束后未按规定报送考级结果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6</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艺术考级机构主要负责人、办公地点有变动未按规定向审批机关备案</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《社会艺术水平考级管理办法》第十一条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五）艺术考级机构主要负责人、办公地点有变动未按规定向审批机关备案的</w:t>
            </w:r>
          </w:p>
        </w:tc>
        <w:tc>
          <w:tcPr>
            <w:tcW w:w="540" w:type="pct"/>
            <w:vMerge w:val="continue"/>
            <w:tcBorders>
              <w:left w:val="nil"/>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bottom w:val="single" w:color="auto" w:sz="4" w:space="0"/>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7</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委托的承办单位不符合规定</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《社会艺术水平考级管理办法》第十六条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 （一）委托的承办单位不符合规定的；</w:t>
            </w:r>
          </w:p>
        </w:tc>
        <w:tc>
          <w:tcPr>
            <w:tcW w:w="540" w:type="pct"/>
            <w:vMerge w:val="restart"/>
            <w:tcBorders>
              <w:top w:val="nil"/>
              <w:left w:val="nil"/>
              <w:right w:val="single" w:color="auto" w:sz="4" w:space="0"/>
            </w:tcBorders>
            <w:shd w:val="clear" w:color="auto" w:fill="auto"/>
            <w:vAlign w:val="center"/>
          </w:tcPr>
          <w:p>
            <w:pPr>
              <w:jc w:val="left"/>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1年内第1次被查处，具有从轻情节的，给予警告，并处罚款5000元。</w:t>
            </w:r>
          </w:p>
        </w:tc>
        <w:tc>
          <w:tcPr>
            <w:tcW w:w="540" w:type="pct"/>
            <w:vMerge w:val="restart"/>
            <w:tcBorders>
              <w:top w:val="nil"/>
              <w:left w:val="nil"/>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1年内第1次被查处，给予警告，并处罚款9000元；</w:t>
            </w:r>
          </w:p>
          <w:p>
            <w:pPr>
              <w:rPr>
                <w:rFonts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1年内第2次被查处，给予警告，并处罚款15000元。</w:t>
            </w:r>
          </w:p>
        </w:tc>
        <w:tc>
          <w:tcPr>
            <w:tcW w:w="546" w:type="pct"/>
            <w:vMerge w:val="restart"/>
            <w:tcBorders>
              <w:top w:val="nil"/>
              <w:left w:val="nil"/>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1年内第1次被查处，具有从重情节的，给予警告，并处罚款21000元；</w:t>
            </w:r>
          </w:p>
          <w:p>
            <w:pPr>
              <w:jc w:val="left"/>
              <w:rPr>
                <w:rFonts w:hint="default" w:ascii="Calibri" w:hAnsi="Calibri" w:eastAsia="仿宋_GB2312" w:cs="Calibri"/>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仿宋_GB2312" w:hAnsi="仿宋" w:eastAsia="仿宋_GB2312"/>
                <w:color w:val="000000" w:themeColor="text1"/>
                <w:sz w:val="21"/>
                <w:szCs w:val="21"/>
                <w:lang w:val="en-US" w:eastAsia="zh-CN"/>
                <w14:textFill>
                  <w14:solidFill>
                    <w14:schemeClr w14:val="tx1"/>
                  </w14:solidFill>
                </w14:textFill>
              </w:rPr>
              <w:t>1年内第2次被查处，具有从重情节的，给予警告，并处罚款24000元；</w:t>
            </w:r>
          </w:p>
          <w:p>
            <w:pPr>
              <w:rPr>
                <w:rFonts w:hint="eastAsia" w:ascii="仿宋_GB2312" w:hAnsi="仿宋"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③</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1年内第3次被查处，给予警告，</w:t>
            </w:r>
            <w:r>
              <w:rPr>
                <w:rFonts w:hint="eastAsia" w:ascii="仿宋_GB2312" w:hAnsi="仿宋" w:eastAsia="仿宋_GB2312"/>
                <w:color w:val="000000" w:themeColor="text1"/>
                <w:sz w:val="21"/>
                <w:szCs w:val="21"/>
                <w:lang w:eastAsia="zh-CN"/>
                <w14:textFill>
                  <w14:solidFill>
                    <w14:schemeClr w14:val="tx1"/>
                  </w14:solidFill>
                </w14:textFill>
              </w:rPr>
              <w:t>并处</w:t>
            </w:r>
            <w:r>
              <w:rPr>
                <w:rFonts w:hint="eastAsia" w:ascii="仿宋_GB2312" w:hAnsi="仿宋" w:eastAsia="仿宋_GB2312"/>
                <w:color w:val="000000" w:themeColor="text1"/>
                <w:sz w:val="21"/>
                <w:szCs w:val="21"/>
                <w14:textFill>
                  <w14:solidFill>
                    <w14:schemeClr w14:val="tx1"/>
                  </w14:solidFill>
                </w14:textFill>
              </w:rPr>
              <w:t>罚款</w:t>
            </w:r>
            <w:r>
              <w:rPr>
                <w:rFonts w:hint="eastAsia" w:ascii="仿宋_GB2312" w:hAnsi="仿宋" w:eastAsia="仿宋_GB2312"/>
                <w:color w:val="000000" w:themeColor="text1"/>
                <w:sz w:val="21"/>
                <w:szCs w:val="21"/>
                <w:lang w:val="en-US" w:eastAsia="zh-CN"/>
                <w14:textFill>
                  <w14:solidFill>
                    <w14:schemeClr w14:val="tx1"/>
                  </w14:solidFill>
                </w14:textFill>
              </w:rPr>
              <w:t>27000</w:t>
            </w:r>
            <w:r>
              <w:rPr>
                <w:rFonts w:hint="eastAsia" w:ascii="仿宋_GB2312" w:hAnsi="仿宋" w:eastAsia="仿宋_GB2312"/>
                <w:color w:val="000000" w:themeColor="text1"/>
                <w:sz w:val="21"/>
                <w:szCs w:val="21"/>
                <w14:textFill>
                  <w14:solidFill>
                    <w14:schemeClr w14:val="tx1"/>
                  </w14:solidFill>
                </w14:textFill>
              </w:rPr>
              <w:t>元</w:t>
            </w:r>
            <w:r>
              <w:rPr>
                <w:rFonts w:hint="eastAsia" w:ascii="仿宋_GB2312" w:hAnsi="仿宋" w:eastAsia="仿宋_GB2312"/>
                <w:color w:val="000000" w:themeColor="text1"/>
                <w:sz w:val="21"/>
                <w:szCs w:val="21"/>
                <w:lang w:eastAsia="zh-CN"/>
                <w14:textFill>
                  <w14:solidFill>
                    <w14:schemeClr w14:val="tx1"/>
                  </w14:solidFill>
                </w14:textFill>
              </w:rPr>
              <w:t>；</w:t>
            </w:r>
          </w:p>
          <w:p>
            <w:pPr>
              <w:rPr>
                <w:rFonts w:hint="eastAsia" w:ascii="仿宋_GB2312" w:hAnsi="仿宋"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④</w:t>
            </w:r>
            <w:r>
              <w:rPr>
                <w:rFonts w:hint="eastAsia" w:ascii="仿宋_GB2312" w:hAnsi="仿宋"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hAnsi="仿宋" w:eastAsia="仿宋_GB2312"/>
                <w:color w:val="000000" w:themeColor="text1"/>
                <w:sz w:val="21"/>
                <w:szCs w:val="21"/>
                <w:lang w:eastAsia="zh-CN"/>
                <w14:textFill>
                  <w14:solidFill>
                    <w14:schemeClr w14:val="tx1"/>
                  </w14:solidFill>
                </w14:textFill>
              </w:rPr>
              <w:t>，给予警告，</w:t>
            </w:r>
            <w:r>
              <w:rPr>
                <w:rFonts w:hint="eastAsia" w:ascii="仿宋_GB2312" w:hAnsi="仿宋" w:eastAsia="仿宋_GB2312"/>
                <w:color w:val="000000" w:themeColor="text1"/>
                <w:sz w:val="21"/>
                <w:szCs w:val="21"/>
                <w:lang w:val="en-US" w:eastAsia="zh-CN"/>
                <w14:textFill>
                  <w14:solidFill>
                    <w14:schemeClr w14:val="tx1"/>
                  </w14:solidFill>
                </w14:textFill>
              </w:rPr>
              <w:t>并处罚款30000元。</w:t>
            </w:r>
          </w:p>
        </w:tc>
        <w:tc>
          <w:tcPr>
            <w:tcW w:w="141"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8</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未按照规定组建常设工作机构并配备专职工作人员</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《社会艺术水平考级管理办法》第十四条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二）未按照规定组建常设工作机构并配备专职工作人员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9</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未按照本机构教材确定艺术考级内容</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《社会艺术水平考级管理办法》第十九条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三）未按照本机构教材确定艺术考级内容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10</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未按照规定要求实行回避</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《社会艺术水平考级管理办法》第二十二条</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四）未按照规定要求实行回避的；</w:t>
            </w:r>
          </w:p>
        </w:tc>
        <w:tc>
          <w:tcPr>
            <w:tcW w:w="540"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7"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11</w:t>
            </w:r>
          </w:p>
        </w:tc>
        <w:tc>
          <w:tcPr>
            <w:tcW w:w="607"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阻挠、抗拒文化行政部门或者文化市场综合执法机构工作人员监督检查</w:t>
            </w:r>
          </w:p>
        </w:tc>
        <w:tc>
          <w:tcPr>
            <w:tcW w:w="37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《社会艺术水平考级管理办法》第二十六条第（五）项</w:t>
            </w:r>
          </w:p>
        </w:tc>
        <w:tc>
          <w:tcPr>
            <w:tcW w:w="2198" w:type="pct"/>
            <w:gridSpan w:val="5"/>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五）阻挠、抗拒文化行政部门或者文化市场综合执法机构工作人员监督检查的。</w:t>
            </w:r>
          </w:p>
        </w:tc>
        <w:tc>
          <w:tcPr>
            <w:tcW w:w="540" w:type="pct"/>
            <w:vMerge w:val="continue"/>
            <w:tcBorders>
              <w:left w:val="nil"/>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pct"/>
            <w:vMerge w:val="continue"/>
            <w:tcBorders>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46" w:type="pct"/>
            <w:vMerge w:val="continue"/>
            <w:tcBorders>
              <w:left w:val="nil"/>
              <w:bottom w:val="single" w:color="auto" w:sz="4" w:space="0"/>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41"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5"/>
          <w:wAfter w:w="2293" w:type="pct"/>
          <w:jc w:val="center"/>
          <w:hidden/>
        </w:trPr>
        <w:tc>
          <w:tcPr>
            <w:tcW w:w="47"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607"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81"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141" w:type="pct"/>
            <w:gridSpan w:val="2"/>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340"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45"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41"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r>
    </w:tbl>
    <w:p>
      <w:pPr>
        <w:rPr>
          <w:rFonts w:ascii="仿宋_GB2312" w:eastAsia="仿宋_GB2312"/>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ZTIyOTNmY2RlNTlhMTZhOTljOTk5MDhlYmYwNDE0YjkifQ=="/>
  </w:docVars>
  <w:rsids>
    <w:rsidRoot w:val="00222C7A"/>
    <w:rsid w:val="000119AF"/>
    <w:rsid w:val="00065EBA"/>
    <w:rsid w:val="000730D8"/>
    <w:rsid w:val="000C60E7"/>
    <w:rsid w:val="00222C7A"/>
    <w:rsid w:val="00273347"/>
    <w:rsid w:val="00360DE3"/>
    <w:rsid w:val="00696C82"/>
    <w:rsid w:val="006A5D84"/>
    <w:rsid w:val="00B76013"/>
    <w:rsid w:val="00E748B8"/>
    <w:rsid w:val="00E91D0D"/>
    <w:rsid w:val="00FC5558"/>
    <w:rsid w:val="0DFB67B0"/>
    <w:rsid w:val="0FCD3553"/>
    <w:rsid w:val="0FCD5301"/>
    <w:rsid w:val="17707379"/>
    <w:rsid w:val="18476F70"/>
    <w:rsid w:val="1D3639A1"/>
    <w:rsid w:val="1F404479"/>
    <w:rsid w:val="24600781"/>
    <w:rsid w:val="25493224"/>
    <w:rsid w:val="26955FF5"/>
    <w:rsid w:val="28AD3B2B"/>
    <w:rsid w:val="2EEA09F2"/>
    <w:rsid w:val="2F472B63"/>
    <w:rsid w:val="35301D0A"/>
    <w:rsid w:val="3D5A0439"/>
    <w:rsid w:val="4407632C"/>
    <w:rsid w:val="4E0631B0"/>
    <w:rsid w:val="51F24178"/>
    <w:rsid w:val="561656FC"/>
    <w:rsid w:val="57566F57"/>
    <w:rsid w:val="5967112E"/>
    <w:rsid w:val="597450E1"/>
    <w:rsid w:val="5C8E2331"/>
    <w:rsid w:val="5F1E11AB"/>
    <w:rsid w:val="665C5E3B"/>
    <w:rsid w:val="69134E28"/>
    <w:rsid w:val="69AA0854"/>
    <w:rsid w:val="6B855C05"/>
    <w:rsid w:val="6EBC7DC7"/>
    <w:rsid w:val="6F20778C"/>
    <w:rsid w:val="708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xl654413"/>
    <w:basedOn w:val="1"/>
    <w:qFormat/>
    <w:uiPriority w:val="0"/>
    <w:pPr>
      <w:spacing w:before="100" w:beforeAutospacing="1" w:after="100" w:afterAutospacing="1"/>
      <w:textAlignment w:val="center"/>
    </w:pPr>
  </w:style>
  <w:style w:type="paragraph" w:customStyle="1" w:styleId="7">
    <w:name w:val="xl66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8">
    <w:name w:val="xl67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b/>
      <w:bCs/>
      <w:sz w:val="20"/>
      <w:szCs w:val="20"/>
    </w:rPr>
  </w:style>
  <w:style w:type="paragraph" w:customStyle="1" w:styleId="9">
    <w:name w:val="xl68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 w:hAnsi="仿宋" w:eastAsia="仿宋"/>
    </w:rPr>
  </w:style>
  <w:style w:type="paragraph" w:customStyle="1" w:styleId="10">
    <w:name w:val="xl69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sz w:val="22"/>
      <w:szCs w:val="22"/>
    </w:rPr>
  </w:style>
  <w:style w:type="paragraph" w:customStyle="1" w:styleId="11">
    <w:name w:val="xl70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 w:hAnsi="仿宋" w:eastAsia="仿宋"/>
      <w:sz w:val="22"/>
      <w:szCs w:val="22"/>
    </w:rPr>
  </w:style>
  <w:style w:type="paragraph" w:customStyle="1" w:styleId="12">
    <w:name w:val="xl71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sz w:val="22"/>
      <w:szCs w:val="22"/>
    </w:rPr>
  </w:style>
  <w:style w:type="paragraph" w:customStyle="1" w:styleId="13">
    <w:name w:val="xl72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style>
  <w:style w:type="paragraph" w:customStyle="1" w:styleId="14">
    <w:name w:val="xl73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color w:val="FF0000"/>
      <w:sz w:val="22"/>
      <w:szCs w:val="22"/>
    </w:rPr>
  </w:style>
  <w:style w:type="paragraph" w:customStyle="1" w:styleId="15">
    <w:name w:val="xl744413"/>
    <w:basedOn w:val="1"/>
    <w:qFormat/>
    <w:uiPriority w:val="0"/>
    <w:pPr>
      <w:spacing w:before="100" w:beforeAutospacing="1" w:after="100" w:afterAutospacing="1"/>
      <w:textAlignment w:val="center"/>
    </w:pPr>
    <w:rPr>
      <w:rFonts w:ascii="仿宋" w:hAnsi="仿宋" w:eastAsia="仿宋"/>
      <w:sz w:val="22"/>
      <w:szCs w:val="22"/>
    </w:rPr>
  </w:style>
  <w:style w:type="paragraph" w:customStyle="1" w:styleId="16">
    <w:name w:val="xl754413"/>
    <w:basedOn w:val="1"/>
    <w:qFormat/>
    <w:uiPriority w:val="0"/>
    <w:pPr>
      <w:spacing w:before="100" w:beforeAutospacing="1" w:after="100" w:afterAutospacing="1"/>
      <w:jc w:val="center"/>
      <w:textAlignment w:val="center"/>
    </w:pPr>
    <w:rPr>
      <w:rFonts w:ascii="仿宋" w:hAnsi="仿宋" w:eastAsia="仿宋"/>
      <w:b/>
      <w:bCs/>
      <w:sz w:val="28"/>
      <w:szCs w:val="28"/>
    </w:rPr>
  </w:style>
  <w:style w:type="paragraph" w:customStyle="1" w:styleId="17">
    <w:name w:val="xl764413"/>
    <w:basedOn w:val="1"/>
    <w:qFormat/>
    <w:uiPriority w:val="0"/>
    <w:pPr>
      <w:spacing w:before="100" w:beforeAutospacing="1" w:after="100" w:afterAutospacing="1"/>
      <w:jc w:val="center"/>
      <w:textAlignment w:val="center"/>
    </w:pPr>
  </w:style>
  <w:style w:type="character" w:customStyle="1" w:styleId="18">
    <w:name w:val="页眉 Char"/>
    <w:basedOn w:val="5"/>
    <w:link w:val="3"/>
    <w:qFormat/>
    <w:uiPriority w:val="99"/>
    <w:rPr>
      <w:rFonts w:ascii="宋体" w:hAnsi="宋体" w:eastAsia="宋体" w:cs="宋体"/>
      <w:sz w:val="18"/>
      <w:szCs w:val="18"/>
    </w:rPr>
  </w:style>
  <w:style w:type="character" w:customStyle="1" w:styleId="19">
    <w:name w:val="页脚 Char"/>
    <w:basedOn w:val="5"/>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2137</Words>
  <Characters>2254</Characters>
  <Lines>14</Lines>
  <Paragraphs>4</Paragraphs>
  <TotalTime>1</TotalTime>
  <ScaleCrop>false</ScaleCrop>
  <LinksUpToDate>false</LinksUpToDate>
  <CharactersWithSpaces>2272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2019-07-10T09:46:00Z</dcterms:created>
  <dc:creator>未定义</dc:creator>
  <cp:lastModifiedBy>Ivan</cp:lastModifiedBy>
  <dcterms:modified xsi:type="dcterms:W3CDTF">2022-08-27T03:24:31Z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2DB12741E6FB4B5FBFB083279953D2DA</vt:lpwstr>
  </property>
</Properties>
</file>