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汕头市龙湖区万吉西片区控制性详细规划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(</w:t>
      </w:r>
      <w:bookmarkStart w:id="0" w:name="_Hlk119425991"/>
      <w:r>
        <w:rPr>
          <w:rFonts w:ascii="黑体" w:hAnsi="黑体" w:eastAsia="黑体"/>
          <w:b/>
          <w:bCs/>
          <w:sz w:val="32"/>
          <w:szCs w:val="32"/>
        </w:rPr>
        <w:t>LH-01101</w:t>
      </w:r>
      <w:r>
        <w:rPr>
          <w:rFonts w:hint="eastAsia" w:ascii="黑体" w:hAnsi="黑体" w:eastAsia="黑体"/>
          <w:b/>
          <w:bCs/>
          <w:sz w:val="32"/>
          <w:szCs w:val="32"/>
        </w:rPr>
        <w:t>、</w:t>
      </w:r>
      <w:r>
        <w:rPr>
          <w:rFonts w:ascii="黑体" w:hAnsi="黑体" w:eastAsia="黑体"/>
          <w:b/>
          <w:bCs/>
          <w:sz w:val="32"/>
          <w:szCs w:val="32"/>
        </w:rPr>
        <w:t>LH-01103</w:t>
      </w:r>
      <w:r>
        <w:rPr>
          <w:rFonts w:hint="eastAsia" w:ascii="黑体" w:hAnsi="黑体" w:eastAsia="黑体"/>
          <w:b/>
          <w:bCs/>
          <w:sz w:val="32"/>
          <w:szCs w:val="32"/>
        </w:rPr>
        <w:t>控制单元</w:t>
      </w:r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）简介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0"/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b/>
          <w:bCs/>
        </w:rPr>
      </w:pPr>
      <w:r>
        <w:rPr>
          <w:rFonts w:hint="eastAsia"/>
          <w:b/>
          <w:bCs/>
        </w:rPr>
        <w:t>规划范围</w:t>
      </w:r>
    </w:p>
    <w:p>
      <w:pPr>
        <w:snapToGrid w:val="0"/>
        <w:spacing w:before="50" w:line="360" w:lineRule="auto"/>
        <w:ind w:firstLine="420" w:firstLineChars="200"/>
        <w:rPr>
          <w:rFonts w:cs="宋体"/>
          <w:snapToGrid w:val="0"/>
          <w:kern w:val="0"/>
        </w:rPr>
      </w:pPr>
      <w:r>
        <w:rPr>
          <w:rFonts w:hint="eastAsia" w:cs="宋体"/>
          <w:snapToGrid w:val="0"/>
          <w:kern w:val="0"/>
        </w:rPr>
        <w:t>本次控规范围在龙湖区控规全覆盖中为</w:t>
      </w:r>
      <w:r>
        <w:rPr>
          <w:rFonts w:cs="宋体"/>
          <w:snapToGrid w:val="0"/>
          <w:kern w:val="0"/>
        </w:rPr>
        <w:t>LH-01101</w:t>
      </w:r>
      <w:r>
        <w:rPr>
          <w:rFonts w:hint="eastAsia" w:cs="宋体"/>
          <w:snapToGrid w:val="0"/>
          <w:kern w:val="0"/>
        </w:rPr>
        <w:t>和</w:t>
      </w:r>
      <w:r>
        <w:rPr>
          <w:rFonts w:cs="宋体"/>
          <w:snapToGrid w:val="0"/>
          <w:kern w:val="0"/>
        </w:rPr>
        <w:t>LH-01103</w:t>
      </w:r>
      <w:r>
        <w:rPr>
          <w:rFonts w:hint="eastAsia" w:cs="宋体"/>
          <w:snapToGrid w:val="0"/>
          <w:kern w:val="0"/>
        </w:rPr>
        <w:t>控制单元</w:t>
      </w:r>
      <w:bookmarkStart w:id="1" w:name="_Hlk78825158"/>
      <w:bookmarkStart w:id="2" w:name="_Hlk119426422"/>
      <w:r>
        <w:rPr>
          <w:rFonts w:hint="eastAsia" w:cs="宋体"/>
          <w:snapToGrid w:val="0"/>
          <w:kern w:val="0"/>
        </w:rPr>
        <w:t>，其中LH</w:t>
      </w:r>
      <w:r>
        <w:rPr>
          <w:rFonts w:cs="宋体"/>
          <w:snapToGrid w:val="0"/>
          <w:kern w:val="0"/>
        </w:rPr>
        <w:t>-011</w:t>
      </w:r>
      <w:bookmarkEnd w:id="1"/>
      <w:r>
        <w:rPr>
          <w:rFonts w:hint="eastAsia" w:cs="宋体"/>
          <w:snapToGrid w:val="0"/>
          <w:kern w:val="0"/>
        </w:rPr>
        <w:t>0</w:t>
      </w:r>
      <w:r>
        <w:rPr>
          <w:rFonts w:cs="宋体"/>
          <w:snapToGrid w:val="0"/>
          <w:kern w:val="0"/>
        </w:rPr>
        <w:t>1</w:t>
      </w:r>
      <w:r>
        <w:rPr>
          <w:rFonts w:hint="eastAsia" w:cs="宋体"/>
          <w:snapToGrid w:val="0"/>
          <w:kern w:val="0"/>
        </w:rPr>
        <w:t>控制单元</w:t>
      </w:r>
      <w:bookmarkEnd w:id="2"/>
      <w:r>
        <w:rPr>
          <w:rFonts w:hint="eastAsia" w:cs="宋体"/>
          <w:snapToGrid w:val="0"/>
          <w:kern w:val="0"/>
        </w:rPr>
        <w:t>范围为：东至珠峰路，南至龙江路，西至梅溪河，北至汕昆高速公路所围合的区域，用地面积为6</w:t>
      </w:r>
      <w:r>
        <w:rPr>
          <w:rFonts w:cs="宋体"/>
          <w:snapToGrid w:val="0"/>
          <w:kern w:val="0"/>
        </w:rPr>
        <w:t>6.04</w:t>
      </w:r>
      <w:r>
        <w:rPr>
          <w:rFonts w:hint="eastAsia" w:cs="宋体"/>
          <w:snapToGrid w:val="0"/>
          <w:kern w:val="0"/>
        </w:rPr>
        <w:t>公顷；LH</w:t>
      </w:r>
      <w:r>
        <w:rPr>
          <w:rFonts w:cs="宋体"/>
          <w:snapToGrid w:val="0"/>
          <w:kern w:val="0"/>
        </w:rPr>
        <w:t>-01103</w:t>
      </w:r>
      <w:r>
        <w:rPr>
          <w:rFonts w:hint="eastAsia" w:cs="宋体"/>
          <w:snapToGrid w:val="0"/>
          <w:kern w:val="0"/>
        </w:rPr>
        <w:t>控制单元范围为东至珠峰路，南至龙湖区-金平区界线，西至梅溪河，北至柳河路所围合的区域，用地面积为3</w:t>
      </w:r>
      <w:r>
        <w:rPr>
          <w:rFonts w:cs="宋体"/>
          <w:snapToGrid w:val="0"/>
          <w:kern w:val="0"/>
        </w:rPr>
        <w:t>5.72</w:t>
      </w:r>
      <w:r>
        <w:rPr>
          <w:rFonts w:hint="eastAsia" w:cs="宋体"/>
          <w:snapToGrid w:val="0"/>
          <w:kern w:val="0"/>
        </w:rPr>
        <w:t>公顷。本次规划法定范围用地面积合计1</w:t>
      </w:r>
      <w:r>
        <w:rPr>
          <w:rFonts w:cs="宋体"/>
          <w:snapToGrid w:val="0"/>
          <w:kern w:val="0"/>
        </w:rPr>
        <w:t>01.76</w:t>
      </w:r>
      <w:r>
        <w:rPr>
          <w:rFonts w:hint="eastAsia" w:cs="宋体"/>
          <w:snapToGrid w:val="0"/>
          <w:kern w:val="0"/>
        </w:rPr>
        <w:t>公顷。</w:t>
      </w:r>
    </w:p>
    <w:p>
      <w:pPr>
        <w:pStyle w:val="10"/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b/>
          <w:bCs/>
        </w:rPr>
      </w:pPr>
      <w:bookmarkStart w:id="3" w:name="_Toc3467185"/>
      <w:bookmarkStart w:id="4" w:name="_Toc2262126"/>
      <w:bookmarkStart w:id="5" w:name="_Toc9603603"/>
      <w:bookmarkStart w:id="6" w:name="_Toc3466726"/>
      <w:bookmarkStart w:id="7" w:name="_Hlk7341402"/>
      <w:r>
        <w:rPr>
          <w:rFonts w:hint="eastAsia"/>
          <w:b/>
          <w:bCs/>
        </w:rPr>
        <w:t>规划定位</w:t>
      </w:r>
      <w:bookmarkEnd w:id="3"/>
      <w:bookmarkEnd w:id="4"/>
      <w:bookmarkEnd w:id="5"/>
      <w:bookmarkEnd w:id="6"/>
    </w:p>
    <w:p>
      <w:pPr>
        <w:snapToGrid w:val="0"/>
        <w:spacing w:before="50" w:line="360" w:lineRule="auto"/>
        <w:ind w:firstLine="420" w:firstLineChars="200"/>
        <w:rPr>
          <w:rFonts w:cs="宋体"/>
          <w:snapToGrid w:val="0"/>
          <w:kern w:val="0"/>
        </w:rPr>
      </w:pPr>
      <w:r>
        <w:rPr>
          <w:rFonts w:hint="eastAsia" w:cs="宋体"/>
          <w:snapToGrid w:val="0"/>
          <w:kern w:val="0"/>
        </w:rPr>
        <w:t>片区规划定位为</w:t>
      </w:r>
      <w:r>
        <w:rPr>
          <w:rFonts w:hint="eastAsia" w:cs="宋体"/>
          <w:color w:val="000000"/>
          <w:kern w:val="0"/>
        </w:rPr>
        <w:t>万吉工业区的重要组成部分，配套设施完善、环境良好新型工业组团，为梅溪河生态景观走廊重要节点。</w:t>
      </w:r>
    </w:p>
    <w:p>
      <w:pPr>
        <w:pStyle w:val="10"/>
        <w:tabs>
          <w:tab w:val="left" w:pos="996"/>
          <w:tab w:val="left" w:pos="1494"/>
          <w:tab w:val="clear" w:pos="1134"/>
        </w:tabs>
        <w:snapToGrid w:val="0"/>
        <w:spacing w:before="156" w:afterLines="0" w:line="360" w:lineRule="auto"/>
        <w:rPr>
          <w:b/>
          <w:bCs/>
        </w:rPr>
      </w:pPr>
      <w:r>
        <w:rPr>
          <w:rFonts w:hint="eastAsia"/>
          <w:b/>
          <w:bCs/>
        </w:rPr>
        <w:t>发展规模</w:t>
      </w:r>
      <w:bookmarkEnd w:id="7"/>
    </w:p>
    <w:p>
      <w:pPr>
        <w:snapToGrid w:val="0"/>
        <w:spacing w:before="50" w:line="360" w:lineRule="auto"/>
        <w:ind w:firstLine="420" w:firstLineChars="200"/>
        <w:rPr>
          <w:rFonts w:cs="宋体"/>
          <w:snapToGrid w:val="0"/>
          <w:kern w:val="0"/>
        </w:rPr>
      </w:pPr>
      <w:r>
        <w:rPr>
          <w:rFonts w:hint="eastAsia" w:cs="宋体"/>
          <w:snapToGrid w:val="0"/>
          <w:kern w:val="0"/>
        </w:rPr>
        <w:t>本规划区总用地合计1</w:t>
      </w:r>
      <w:r>
        <w:rPr>
          <w:rFonts w:cs="宋体"/>
          <w:snapToGrid w:val="0"/>
          <w:kern w:val="0"/>
        </w:rPr>
        <w:t>01.76</w:t>
      </w:r>
      <w:r>
        <w:rPr>
          <w:rFonts w:hint="eastAsia" w:cs="宋体"/>
          <w:snapToGrid w:val="0"/>
          <w:kern w:val="0"/>
        </w:rPr>
        <w:t>公顷，其中规划城镇建设用地</w:t>
      </w:r>
      <w:r>
        <w:rPr>
          <w:rFonts w:cs="宋体"/>
          <w:snapToGrid w:val="0"/>
          <w:kern w:val="0"/>
        </w:rPr>
        <w:t>91.07</w:t>
      </w:r>
      <w:r>
        <w:rPr>
          <w:rFonts w:hint="eastAsia" w:cs="宋体"/>
          <w:snapToGrid w:val="0"/>
          <w:kern w:val="0"/>
        </w:rPr>
        <w:t xml:space="preserve">公顷；非建设用地为梅溪河水域，用地面积为10.69公顷。 </w:t>
      </w:r>
    </w:p>
    <w:p>
      <w:pPr>
        <w:snapToGrid w:val="0"/>
        <w:spacing w:before="50" w:line="360" w:lineRule="auto"/>
        <w:ind w:firstLine="420" w:firstLineChars="200"/>
        <w:rPr>
          <w:rFonts w:cs="宋体"/>
          <w:snapToGrid w:val="0"/>
          <w:kern w:val="0"/>
        </w:rPr>
      </w:pPr>
      <w:r>
        <w:rPr>
          <w:rFonts w:hint="eastAsia" w:cs="宋体"/>
          <w:snapToGrid w:val="0"/>
          <w:kern w:val="0"/>
        </w:rPr>
        <w:t>规划居住用地</w:t>
      </w:r>
      <w:r>
        <w:rPr>
          <w:rFonts w:cs="宋体"/>
          <w:snapToGrid w:val="0"/>
          <w:kern w:val="0"/>
        </w:rPr>
        <w:t>0.57</w:t>
      </w:r>
      <w:r>
        <w:rPr>
          <w:rFonts w:hint="eastAsia" w:cs="宋体"/>
          <w:snapToGrid w:val="0"/>
          <w:kern w:val="0"/>
        </w:rPr>
        <w:t>公顷，工业用地</w:t>
      </w:r>
      <w:r>
        <w:rPr>
          <w:rFonts w:cs="宋体"/>
          <w:snapToGrid w:val="0"/>
          <w:kern w:val="0"/>
        </w:rPr>
        <w:t>37.52</w:t>
      </w:r>
      <w:r>
        <w:rPr>
          <w:rFonts w:hint="eastAsia" w:cs="宋体"/>
          <w:snapToGrid w:val="0"/>
          <w:kern w:val="0"/>
        </w:rPr>
        <w:t>公顷</w:t>
      </w:r>
      <w:bookmarkStart w:id="10" w:name="_GoBack"/>
      <w:bookmarkEnd w:id="10"/>
      <w:r>
        <w:rPr>
          <w:rFonts w:hint="eastAsia" w:cs="宋体"/>
          <w:snapToGrid w:val="0"/>
          <w:kern w:val="0"/>
        </w:rPr>
        <w:t>。</w:t>
      </w:r>
      <w:bookmarkStart w:id="8" w:name="_Hlk28201590"/>
      <w:bookmarkStart w:id="9" w:name="_Hlk60905804"/>
      <w:r>
        <w:rPr>
          <w:rFonts w:hint="eastAsia" w:cs="宋体"/>
          <w:snapToGrid w:val="0"/>
          <w:kern w:val="0"/>
        </w:rPr>
        <w:t>根据有关法规、规章、技术规范及市政府相关文件，经测算居住人口约</w:t>
      </w:r>
      <w:r>
        <w:rPr>
          <w:rFonts w:cs="宋体"/>
          <w:snapToGrid w:val="0"/>
          <w:kern w:val="0"/>
        </w:rPr>
        <w:t>0.02</w:t>
      </w:r>
      <w:r>
        <w:rPr>
          <w:rFonts w:hint="eastAsia" w:cs="宋体"/>
          <w:snapToGrid w:val="0"/>
          <w:kern w:val="0"/>
        </w:rPr>
        <w:t>万人。</w:t>
      </w:r>
      <w:bookmarkEnd w:id="8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10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OTU3MmJmOWE4Nzk2ZDEwNDE0MDllMGExOWI1N2MifQ=="/>
  </w:docVars>
  <w:rsids>
    <w:rsidRoot w:val="00D25B56"/>
    <w:rsid w:val="00030A83"/>
    <w:rsid w:val="000B362A"/>
    <w:rsid w:val="001920AF"/>
    <w:rsid w:val="001D40D6"/>
    <w:rsid w:val="001E01D3"/>
    <w:rsid w:val="001F3BCF"/>
    <w:rsid w:val="00330CD2"/>
    <w:rsid w:val="003B64E6"/>
    <w:rsid w:val="003B7051"/>
    <w:rsid w:val="00462D99"/>
    <w:rsid w:val="004A35D8"/>
    <w:rsid w:val="004C08B4"/>
    <w:rsid w:val="004C7B34"/>
    <w:rsid w:val="00527FD7"/>
    <w:rsid w:val="00542FCE"/>
    <w:rsid w:val="0059093F"/>
    <w:rsid w:val="005F7A87"/>
    <w:rsid w:val="006F243A"/>
    <w:rsid w:val="00713D1E"/>
    <w:rsid w:val="00732374"/>
    <w:rsid w:val="0076492F"/>
    <w:rsid w:val="007739C1"/>
    <w:rsid w:val="007B7141"/>
    <w:rsid w:val="007D0263"/>
    <w:rsid w:val="008069B6"/>
    <w:rsid w:val="00811FE8"/>
    <w:rsid w:val="008421E8"/>
    <w:rsid w:val="00843BC8"/>
    <w:rsid w:val="00847F8C"/>
    <w:rsid w:val="008C3EFD"/>
    <w:rsid w:val="008E2656"/>
    <w:rsid w:val="008F6E6F"/>
    <w:rsid w:val="009901D9"/>
    <w:rsid w:val="009F48DA"/>
    <w:rsid w:val="00A56CF2"/>
    <w:rsid w:val="00A761B8"/>
    <w:rsid w:val="00B52352"/>
    <w:rsid w:val="00B554BB"/>
    <w:rsid w:val="00B762DD"/>
    <w:rsid w:val="00CC3AAA"/>
    <w:rsid w:val="00CD28D6"/>
    <w:rsid w:val="00CE726E"/>
    <w:rsid w:val="00D25B56"/>
    <w:rsid w:val="00DD7F3A"/>
    <w:rsid w:val="00E800E0"/>
    <w:rsid w:val="00EC659D"/>
    <w:rsid w:val="00ED0919"/>
    <w:rsid w:val="00EE4FC9"/>
    <w:rsid w:val="00F27F9A"/>
    <w:rsid w:val="00FF521F"/>
    <w:rsid w:val="0EF12B25"/>
    <w:rsid w:val="1DAC2F9F"/>
    <w:rsid w:val="28E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文本条文"/>
    <w:next w:val="1"/>
    <w:link w:val="11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文本条文 字符"/>
    <w:link w:val="10"/>
    <w:qFormat/>
    <w:uiPriority w:val="0"/>
    <w:rPr>
      <w:rFonts w:ascii="宋体" w:hAnsi="宋体"/>
      <w:sz w:val="24"/>
      <w:szCs w:val="24"/>
    </w:rPr>
  </w:style>
  <w:style w:type="paragraph" w:customStyle="1" w:styleId="12">
    <w:name w:val="文本正文"/>
    <w:basedOn w:val="10"/>
    <w:link w:val="13"/>
    <w:qFormat/>
    <w:uiPriority w:val="0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13">
    <w:name w:val="文本正文 字符"/>
    <w:basedOn w:val="11"/>
    <w:link w:val="1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553</Characters>
  <Lines>4</Lines>
  <Paragraphs>1</Paragraphs>
  <TotalTime>15</TotalTime>
  <ScaleCrop>false</ScaleCrop>
  <LinksUpToDate>false</LinksUpToDate>
  <CharactersWithSpaces>554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2022-11-15T09:36:00Z</dcterms:created>
  <dc:creator>Administrator</dc:creator>
  <cp:lastModifiedBy>张桌桌</cp:lastModifiedBy>
  <dcterms:modified xsi:type="dcterms:W3CDTF">2022-11-21T07:15:43Z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CA7E3F10B55F4240AF688DD620069B0C</vt:lpwstr>
  </property>
</Properties>
</file>