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jc w:val="left"/>
        <w:textAlignment w:val="auto"/>
        <w:outlineLvl w:val="9"/>
        <w:rPr>
          <w:rFonts w:hint="eastAsia" w:ascii="黑体" w:hAnsi="黑体" w:eastAsia="黑体" w:cs="黑体"/>
          <w:bCs/>
          <w:i w:val="0"/>
          <w:color w:val="auto"/>
          <w:kern w:val="0"/>
          <w:sz w:val="28"/>
          <w:szCs w:val="28"/>
          <w:u w:val="none"/>
          <w:lang w:val="en-US" w:eastAsia="zh-CN" w:bidi="ar-SA"/>
        </w:rPr>
      </w:pPr>
      <w:r>
        <w:rPr>
          <w:rFonts w:hint="eastAsia" w:ascii="黑体" w:hAnsi="黑体" w:eastAsia="黑体" w:cs="黑体"/>
          <w:bCs/>
          <w:i w:val="0"/>
          <w:color w:val="auto"/>
          <w:kern w:val="0"/>
          <w:sz w:val="32"/>
          <w:szCs w:val="32"/>
          <w:u w:val="none"/>
          <w:lang w:val="en-US" w:eastAsia="zh-CN" w:bidi="ar-SA"/>
        </w:rPr>
        <w:t>附件1</w:t>
      </w:r>
    </w:p>
    <w:p>
      <w:pPr>
        <w:pStyle w:val="4"/>
        <w:spacing w:beforeLines="0" w:afterLines="0" w:line="600" w:lineRule="exact"/>
        <w:ind w:left="0" w:leftChars="0" w:firstLine="0" w:firstLineChars="0"/>
        <w:jc w:val="center"/>
        <w:outlineLvl w:val="9"/>
        <w:rPr>
          <w:rFonts w:hint="eastAsia" w:ascii="方正大标宋简体" w:hAnsi="方正大标宋简体" w:eastAsia="方正大标宋简体" w:cs="方正大标宋简体"/>
          <w:b w:val="0"/>
          <w:bCs/>
          <w:i w:val="0"/>
          <w:color w:val="auto"/>
          <w:kern w:val="0"/>
          <w:sz w:val="44"/>
          <w:szCs w:val="44"/>
          <w:u w:val="none"/>
          <w:lang w:val="en-US" w:eastAsia="zh-CN" w:bidi="ar"/>
        </w:rPr>
      </w:pPr>
      <w:r>
        <w:rPr>
          <w:rFonts w:hint="eastAsia" w:ascii="方正大标宋简体" w:hAnsi="方正大标宋简体" w:eastAsia="方正大标宋简体" w:cs="方正大标宋简体"/>
          <w:b w:val="0"/>
          <w:bCs/>
          <w:i w:val="0"/>
          <w:color w:val="auto"/>
          <w:kern w:val="0"/>
          <w:sz w:val="44"/>
          <w:szCs w:val="44"/>
          <w:u w:val="none"/>
          <w:lang w:val="en-US" w:eastAsia="zh-CN" w:bidi="ar"/>
        </w:rPr>
        <w:t>2022年省级稳外贸资金</w:t>
      </w:r>
    </w:p>
    <w:p>
      <w:pPr>
        <w:pStyle w:val="4"/>
        <w:spacing w:beforeLines="0" w:afterLines="0" w:line="600" w:lineRule="exact"/>
        <w:ind w:left="0" w:leftChars="0" w:firstLine="0" w:firstLineChars="0"/>
        <w:jc w:val="center"/>
        <w:outlineLvl w:val="9"/>
        <w:rPr>
          <w:rFonts w:hint="eastAsia" w:ascii="方正大标宋简体" w:hAnsi="方正大标宋简体" w:eastAsia="方正大标宋简体" w:cs="方正大标宋简体"/>
          <w:b w:val="0"/>
          <w:bCs/>
          <w:i w:val="0"/>
          <w:color w:val="auto"/>
          <w:kern w:val="0"/>
          <w:sz w:val="44"/>
          <w:szCs w:val="44"/>
          <w:u w:val="none"/>
          <w:lang w:val="en-US" w:eastAsia="zh-CN" w:bidi="ar"/>
        </w:rPr>
      </w:pPr>
      <w:r>
        <w:rPr>
          <w:rFonts w:hint="eastAsia" w:ascii="方正大标宋简体" w:hAnsi="方正大标宋简体" w:eastAsia="方正大标宋简体" w:cs="方正大标宋简体"/>
          <w:b w:val="0"/>
          <w:bCs/>
          <w:i w:val="0"/>
          <w:color w:val="auto"/>
          <w:kern w:val="0"/>
          <w:sz w:val="44"/>
          <w:szCs w:val="44"/>
          <w:u w:val="none"/>
          <w:lang w:val="en-US" w:eastAsia="zh-CN" w:bidi="ar"/>
        </w:rPr>
        <w:t>（支持企业抢订单事项）申请表</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35"/>
        <w:gridCol w:w="1079"/>
        <w:gridCol w:w="818"/>
        <w:gridCol w:w="262"/>
        <w:gridCol w:w="848"/>
        <w:gridCol w:w="231"/>
        <w:gridCol w:w="264"/>
        <w:gridCol w:w="2030"/>
        <w:gridCol w:w="1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6" w:hRule="atLeast"/>
          <w:jc w:val="center"/>
        </w:trPr>
        <w:tc>
          <w:tcPr>
            <w:tcW w:w="1335"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单位名称（全称）</w:t>
            </w:r>
          </w:p>
        </w:tc>
        <w:tc>
          <w:tcPr>
            <w:tcW w:w="3007"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8"/>
                <w:szCs w:val="28"/>
                <w:u w:val="none"/>
              </w:rPr>
            </w:pPr>
          </w:p>
        </w:tc>
        <w:tc>
          <w:tcPr>
            <w:tcW w:w="25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对外贸易经营者备案登记号或外商投资企业批准证书号</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单位地址</w:t>
            </w:r>
          </w:p>
        </w:tc>
        <w:tc>
          <w:tcPr>
            <w:tcW w:w="3502" w:type="dxa"/>
            <w:gridSpan w:val="6"/>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8"/>
                <w:szCs w:val="28"/>
                <w:u w:val="none"/>
              </w:rPr>
            </w:pPr>
          </w:p>
        </w:tc>
        <w:tc>
          <w:tcPr>
            <w:tcW w:w="203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营业执照注册号</w:t>
            </w:r>
          </w:p>
        </w:tc>
        <w:tc>
          <w:tcPr>
            <w:tcW w:w="1885" w:type="dxa"/>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联系人</w:t>
            </w:r>
          </w:p>
        </w:tc>
        <w:tc>
          <w:tcPr>
            <w:tcW w:w="3502" w:type="dxa"/>
            <w:gridSpan w:val="6"/>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auto"/>
                <w:sz w:val="28"/>
                <w:szCs w:val="28"/>
                <w:u w:val="none"/>
              </w:rPr>
            </w:pPr>
          </w:p>
        </w:tc>
        <w:tc>
          <w:tcPr>
            <w:tcW w:w="203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联系电话</w:t>
            </w:r>
          </w:p>
        </w:tc>
        <w:tc>
          <w:tcPr>
            <w:tcW w:w="1885" w:type="dxa"/>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35" w:type="dxa"/>
            <w:vMerge w:val="restart"/>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申报项目名称</w:t>
            </w:r>
          </w:p>
        </w:tc>
        <w:tc>
          <w:tcPr>
            <w:tcW w:w="189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8"/>
                <w:szCs w:val="28"/>
                <w:u w:val="none"/>
              </w:rPr>
            </w:pPr>
          </w:p>
        </w:tc>
        <w:tc>
          <w:tcPr>
            <w:tcW w:w="1605"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20</w:t>
            </w:r>
            <w:r>
              <w:rPr>
                <w:rFonts w:hint="eastAsia" w:ascii="宋体" w:hAnsi="宋体" w:cs="宋体"/>
                <w:i w:val="0"/>
                <w:color w:val="auto"/>
                <w:kern w:val="0"/>
                <w:sz w:val="28"/>
                <w:szCs w:val="28"/>
                <w:u w:val="none"/>
                <w:lang w:val="en-US" w:eastAsia="zh-CN" w:bidi="ar"/>
              </w:rPr>
              <w:t>21</w:t>
            </w:r>
            <w:r>
              <w:rPr>
                <w:rFonts w:hint="eastAsia" w:ascii="宋体" w:hAnsi="宋体" w:eastAsia="宋体" w:cs="宋体"/>
                <w:i w:val="0"/>
                <w:color w:val="auto"/>
                <w:kern w:val="0"/>
                <w:sz w:val="28"/>
                <w:szCs w:val="28"/>
                <w:u w:val="none"/>
                <w:lang w:val="en-US" w:eastAsia="zh-CN" w:bidi="ar"/>
              </w:rPr>
              <w:t>年度海关进出口额（万美元）</w:t>
            </w:r>
          </w:p>
        </w:tc>
        <w:tc>
          <w:tcPr>
            <w:tcW w:w="391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2" w:hRule="atLeast"/>
          <w:jc w:val="center"/>
        </w:trPr>
        <w:tc>
          <w:tcPr>
            <w:tcW w:w="1335" w:type="dxa"/>
            <w:vMerge w:val="continue"/>
            <w:tcBorders>
              <w:top w:val="single" w:color="000000" w:sz="4" w:space="0"/>
              <w:left w:val="single" w:color="000000" w:sz="4" w:space="0"/>
              <w:bottom w:val="single" w:color="000000" w:sz="4" w:space="0"/>
            </w:tcBorders>
            <w:noWrap w:val="0"/>
            <w:vAlign w:val="center"/>
          </w:tcPr>
          <w:p>
            <w:pPr>
              <w:jc w:val="center"/>
              <w:rPr>
                <w:rFonts w:hint="eastAsia" w:ascii="宋体" w:hAnsi="宋体" w:eastAsia="宋体" w:cs="宋体"/>
                <w:i w:val="0"/>
                <w:color w:val="auto"/>
                <w:sz w:val="28"/>
                <w:szCs w:val="28"/>
                <w:u w:val="none"/>
              </w:rPr>
            </w:pPr>
          </w:p>
        </w:tc>
        <w:tc>
          <w:tcPr>
            <w:tcW w:w="189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8"/>
                <w:szCs w:val="28"/>
                <w:u w:val="none"/>
              </w:rPr>
            </w:pPr>
          </w:p>
        </w:tc>
        <w:tc>
          <w:tcPr>
            <w:tcW w:w="1605"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8"/>
                <w:szCs w:val="28"/>
                <w:u w:val="none"/>
              </w:rPr>
            </w:pPr>
          </w:p>
        </w:tc>
        <w:tc>
          <w:tcPr>
            <w:tcW w:w="391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项目支出金额</w:t>
            </w:r>
          </w:p>
        </w:tc>
        <w:tc>
          <w:tcPr>
            <w:tcW w:w="189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8"/>
                <w:szCs w:val="28"/>
                <w:u w:val="none"/>
              </w:rPr>
            </w:pPr>
          </w:p>
        </w:tc>
        <w:tc>
          <w:tcPr>
            <w:tcW w:w="1605" w:type="dxa"/>
            <w:gridSpan w:val="4"/>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申请金额</w:t>
            </w:r>
          </w:p>
        </w:tc>
        <w:tc>
          <w:tcPr>
            <w:tcW w:w="391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31" w:hRule="atLeast"/>
          <w:jc w:val="center"/>
        </w:trPr>
        <w:tc>
          <w:tcPr>
            <w:tcW w:w="8752" w:type="dxa"/>
            <w:gridSpan w:val="9"/>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 xml:space="preserve"> 本企业承诺近三年无违法违规行为并保证所提供的申报材料真实无误，如有虚假，愿意承担相关法律责任。如获专项资金资助，将按文件规定的资金使用范围和有关财务规定使用，并接受商务和财政部门的监督。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335" w:type="dxa"/>
            <w:tcBorders>
              <w:lef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 xml:space="preserve">单位公章 </w:t>
            </w:r>
          </w:p>
        </w:tc>
        <w:tc>
          <w:tcPr>
            <w:tcW w:w="1079" w:type="dxa"/>
            <w:noWrap w:val="0"/>
            <w:vAlign w:val="center"/>
          </w:tcPr>
          <w:p>
            <w:pPr>
              <w:rPr>
                <w:rFonts w:hint="eastAsia" w:ascii="宋体" w:hAnsi="宋体" w:eastAsia="宋体" w:cs="宋体"/>
                <w:i w:val="0"/>
                <w:color w:val="auto"/>
                <w:sz w:val="28"/>
                <w:szCs w:val="28"/>
                <w:u w:val="none"/>
              </w:rPr>
            </w:pPr>
          </w:p>
        </w:tc>
        <w:tc>
          <w:tcPr>
            <w:tcW w:w="1080" w:type="dxa"/>
            <w:gridSpan w:val="2"/>
            <w:noWrap w:val="0"/>
            <w:vAlign w:val="center"/>
          </w:tcPr>
          <w:p>
            <w:pPr>
              <w:rPr>
                <w:rFonts w:hint="eastAsia" w:ascii="宋体" w:hAnsi="宋体" w:eastAsia="宋体" w:cs="宋体"/>
                <w:i w:val="0"/>
                <w:color w:val="auto"/>
                <w:sz w:val="28"/>
                <w:szCs w:val="28"/>
                <w:u w:val="none"/>
              </w:rPr>
            </w:pPr>
          </w:p>
        </w:tc>
        <w:tc>
          <w:tcPr>
            <w:tcW w:w="1079" w:type="dxa"/>
            <w:gridSpan w:val="2"/>
            <w:noWrap w:val="0"/>
            <w:vAlign w:val="center"/>
          </w:tcPr>
          <w:p>
            <w:pPr>
              <w:rPr>
                <w:rFonts w:hint="eastAsia" w:ascii="宋体" w:hAnsi="宋体" w:eastAsia="宋体" w:cs="宋体"/>
                <w:i w:val="0"/>
                <w:color w:val="auto"/>
                <w:sz w:val="28"/>
                <w:szCs w:val="28"/>
                <w:u w:val="none"/>
              </w:rPr>
            </w:pPr>
          </w:p>
        </w:tc>
        <w:tc>
          <w:tcPr>
            <w:tcW w:w="2294"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 xml:space="preserve"> 法人代表签字：                                                                                                                                                 </w:t>
            </w:r>
          </w:p>
        </w:tc>
        <w:tc>
          <w:tcPr>
            <w:tcW w:w="1885" w:type="dxa"/>
            <w:tcBorders>
              <w:right w:val="single" w:color="000000" w:sz="4" w:space="0"/>
            </w:tcBorders>
            <w:noWrap w:val="0"/>
            <w:vAlign w:val="center"/>
          </w:tcPr>
          <w:p>
            <w:pPr>
              <w:rPr>
                <w:rFonts w:hint="eastAsia" w:ascii="宋体" w:hAnsi="宋体" w:eastAsia="宋体" w:cs="宋体"/>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jc w:val="center"/>
        </w:trPr>
        <w:tc>
          <w:tcPr>
            <w:tcW w:w="1335" w:type="dxa"/>
            <w:tcBorders>
              <w:left w:val="single" w:color="000000" w:sz="4" w:space="0"/>
              <w:bottom w:val="single" w:color="000000" w:sz="4" w:space="0"/>
            </w:tcBorders>
            <w:noWrap w:val="0"/>
            <w:vAlign w:val="center"/>
          </w:tcPr>
          <w:p>
            <w:pPr>
              <w:rPr>
                <w:rFonts w:hint="eastAsia" w:ascii="宋体" w:hAnsi="宋体" w:eastAsia="宋体" w:cs="宋体"/>
                <w:i w:val="0"/>
                <w:color w:val="auto"/>
                <w:sz w:val="28"/>
                <w:szCs w:val="28"/>
                <w:u w:val="none"/>
              </w:rPr>
            </w:pPr>
          </w:p>
        </w:tc>
        <w:tc>
          <w:tcPr>
            <w:tcW w:w="1079" w:type="dxa"/>
            <w:tcBorders>
              <w:bottom w:val="single" w:color="000000" w:sz="4" w:space="0"/>
            </w:tcBorders>
            <w:noWrap w:val="0"/>
            <w:vAlign w:val="center"/>
          </w:tcPr>
          <w:p>
            <w:pPr>
              <w:rPr>
                <w:rFonts w:hint="eastAsia" w:ascii="宋体" w:hAnsi="宋体" w:eastAsia="宋体" w:cs="宋体"/>
                <w:i w:val="0"/>
                <w:color w:val="auto"/>
                <w:sz w:val="28"/>
                <w:szCs w:val="28"/>
                <w:u w:val="none"/>
              </w:rPr>
            </w:pPr>
          </w:p>
        </w:tc>
        <w:tc>
          <w:tcPr>
            <w:tcW w:w="1080" w:type="dxa"/>
            <w:gridSpan w:val="2"/>
            <w:tcBorders>
              <w:bottom w:val="single" w:color="000000" w:sz="4" w:space="0"/>
            </w:tcBorders>
            <w:noWrap w:val="0"/>
            <w:vAlign w:val="center"/>
          </w:tcPr>
          <w:p>
            <w:pPr>
              <w:rPr>
                <w:rFonts w:hint="eastAsia" w:ascii="宋体" w:hAnsi="宋体" w:eastAsia="宋体" w:cs="宋体"/>
                <w:i w:val="0"/>
                <w:color w:val="auto"/>
                <w:sz w:val="28"/>
                <w:szCs w:val="28"/>
                <w:u w:val="none"/>
              </w:rPr>
            </w:pPr>
          </w:p>
        </w:tc>
        <w:tc>
          <w:tcPr>
            <w:tcW w:w="1079" w:type="dxa"/>
            <w:gridSpan w:val="2"/>
            <w:tcBorders>
              <w:bottom w:val="single" w:color="000000" w:sz="4" w:space="0"/>
            </w:tcBorders>
            <w:noWrap w:val="0"/>
            <w:vAlign w:val="center"/>
          </w:tcPr>
          <w:p>
            <w:pPr>
              <w:rPr>
                <w:rFonts w:hint="eastAsia" w:ascii="宋体" w:hAnsi="宋体" w:eastAsia="宋体" w:cs="宋体"/>
                <w:i w:val="0"/>
                <w:color w:val="auto"/>
                <w:sz w:val="28"/>
                <w:szCs w:val="28"/>
                <w:u w:val="none"/>
              </w:rPr>
            </w:pPr>
          </w:p>
        </w:tc>
        <w:tc>
          <w:tcPr>
            <w:tcW w:w="2294" w:type="dxa"/>
            <w:gridSpan w:val="2"/>
            <w:tcBorders>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 xml:space="preserve">                                    </w:t>
            </w:r>
          </w:p>
        </w:tc>
        <w:tc>
          <w:tcPr>
            <w:tcW w:w="1885" w:type="dxa"/>
            <w:tcBorders>
              <w:bottom w:val="single" w:color="000000" w:sz="4" w:space="0"/>
              <w:right w:val="single" w:color="000000" w:sz="4" w:space="0"/>
            </w:tcBorders>
            <w:noWrap w:val="0"/>
            <w:vAlign w:val="center"/>
          </w:tcPr>
          <w:p>
            <w:pP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 xml:space="preserve">   年  月  日</w:t>
            </w:r>
          </w:p>
        </w:tc>
      </w:tr>
    </w:tbl>
    <w:p>
      <w:pPr>
        <w:rPr>
          <w:rFonts w:hint="eastAsia" w:ascii="黑体" w:hAnsi="黑体" w:eastAsia="黑体" w:cs="黑体"/>
          <w:bCs/>
          <w:color w:val="auto"/>
          <w:kern w:val="0"/>
          <w:sz w:val="32"/>
          <w:szCs w:val="32"/>
          <w:lang w:val="en-US" w:eastAsia="zh-CN" w:bidi="ar-SA"/>
        </w:rPr>
      </w:pPr>
    </w:p>
    <w:p>
      <w:pPr>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lang w:val="en-US" w:eastAsia="zh-CN" w:bidi="ar-SA"/>
        </w:rPr>
        <w:br w:type="page"/>
      </w:r>
      <w:r>
        <w:rPr>
          <w:rFonts w:hint="eastAsia" w:ascii="黑体" w:hAnsi="黑体" w:eastAsia="黑体" w:cs="黑体"/>
          <w:bCs/>
          <w:color w:val="auto"/>
          <w:kern w:val="0"/>
          <w:sz w:val="32"/>
          <w:szCs w:val="32"/>
          <w:lang w:val="en-US" w:eastAsia="zh-CN" w:bidi="ar-SA"/>
        </w:rPr>
        <w:t>附件2</w:t>
      </w:r>
      <w:bookmarkStart w:id="0" w:name="_GoBack"/>
      <w:bookmarkEnd w:id="0"/>
    </w:p>
    <w:p>
      <w:pPr>
        <w:keepNext w:val="0"/>
        <w:keepLines w:val="0"/>
        <w:pageBreakBefore w:val="0"/>
        <w:widowControl/>
        <w:kinsoku/>
        <w:overflowPunct/>
        <w:topLinePunct w:val="0"/>
        <w:autoSpaceDE/>
        <w:bidi w:val="0"/>
        <w:spacing w:line="600" w:lineRule="exact"/>
        <w:jc w:val="center"/>
        <w:textAlignment w:val="center"/>
        <w:outlineLvl w:val="9"/>
        <w:rPr>
          <w:rFonts w:hint="eastAsia" w:ascii="方正大标宋简体" w:hAnsi="方正大标宋简体" w:eastAsia="方正大标宋简体" w:cs="方正大标宋简体"/>
          <w:b w:val="0"/>
          <w:bCs/>
          <w:color w:val="auto"/>
          <w:kern w:val="0"/>
          <w:sz w:val="44"/>
          <w:szCs w:val="44"/>
          <w:lang w:eastAsia="zh-CN" w:bidi="ar"/>
        </w:rPr>
      </w:pPr>
      <w:r>
        <w:rPr>
          <w:rFonts w:hint="eastAsia" w:ascii="方正大标宋简体" w:hAnsi="方正大标宋简体" w:eastAsia="方正大标宋简体" w:cs="方正大标宋简体"/>
          <w:b w:val="0"/>
          <w:bCs/>
          <w:color w:val="auto"/>
          <w:kern w:val="0"/>
          <w:sz w:val="44"/>
          <w:szCs w:val="44"/>
          <w:lang w:bidi="ar"/>
        </w:rPr>
        <w:t>“粤贸全球”广东线上展览平台一览表</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64"/>
        <w:gridCol w:w="6944"/>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展会名称</w:t>
            </w:r>
            <w:r>
              <w:rPr>
                <w:rFonts w:hint="eastAsia" w:ascii="宋体" w:hAnsi="宋体" w:cs="宋体"/>
                <w:b/>
                <w:i w:val="0"/>
                <w:color w:val="000000"/>
                <w:kern w:val="0"/>
                <w:sz w:val="24"/>
                <w:szCs w:val="24"/>
                <w:u w:val="none"/>
                <w:lang w:val="en-US" w:eastAsia="zh-CN" w:bidi="ar"/>
              </w:rPr>
              <w:t>(2022年1月1日-12月31日)</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国际建筑建材展</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焦点科技股份有限公司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中国出口全球展</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工业博览会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国际家居时尚博览会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中国国际贸易交易博览会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国际消费文娱展</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国际电力安防展</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国际家装建材展</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交通汽配展</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综合机械展</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中国出口全球展</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国际服装纺织展</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五大行业展</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国际医药卫生博览会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中国国际贸易交易博览会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中国（波兰）国际贸易数字展览会</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spacing w:line="400" w:lineRule="exact"/>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spacing w:line="400" w:lineRule="exact"/>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spacing w:line="400" w:lineRule="exact"/>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spacing w:line="400" w:lineRule="exact"/>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浙江米奥兰特商务会展股份有限公司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中国（墨西哥）国际贸易数字展览会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中国-欧亚国际贸易数字展览会（迪拜，土耳其）</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中国-非洲国际贸易数字展览会（南非，埃及、尼日利亚）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中国-南美国际贸易数字展览会（巴西，智利，阿根廷）</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中国-RCEP日韩国际贸易数字展览会（日本，韩国）</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中国-RCEP东盟国际贸易数字展览会（印尼，泰国）</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中国-RCEP东盟国际贸易数字展览会（马来西亚，越南）</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中国-东欧国际贸易数字展览会（波兰，俄罗斯，乌克兰）</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中国-中北美国际贸易数字展览会（墨西哥，哥伦比亚）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中国-拉美国际贸易数字展览会（巴西，智利，阿根廷）</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中国-南亚国际贸易数字展览会（印度，孟加拉，巴基斯坦）</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中国-中东国际贸易数字展览会（迪拜，沙特）</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中国机电产品出口网上交易会(独联体专场)</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中国机电产品进出口商会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中国机电产品出口网上交易会(欧洲站-家电电子行业专场)</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中国机电产品出口网上交易会(RCEP专场)</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中国纺织品服装贸易展览会（纽约）</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中国国际贸易促进委员会纺织行业分会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中国纺织品服装贸易展览会（巴黎）</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孟加拉达卡国际面料展览会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中国纺织品服装贸易展览会（巴黎）</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中国纺织品服装贸易展览会（纽约）</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孟加拉达卡国际面料展览会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中国纺织精品展览会（南非）</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巴西圣保罗GOTEX国际纺织服装采购展</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台北国际汽车、摩托车(电动车) 零配件展</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广东世联供应链管理有限公司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土耳伊斯坦布尔汽汽车零配件及售后服务展览会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广东餐厨用品出口巡回线上展（北美站）</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中美洲（墨西哥）国际汽车零配件及售后服务展览会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广东餐厨用品出口巡回线上展（印尼站）</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俄罗斯(莫斯科)国际汽车零配件及售后服务线上展览会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广东餐厨用品出口巡回线上展（俄罗斯站）</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法兰克福国际汽车零配件及售后服务展览会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2022中国国际五金刀剪博览会线上展（全球）</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中东（迪拜）国际汽车零配件及售后服务展览会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6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2022年CCEE全球跨境电商展览会线上展会</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广东潮域展览有限公司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6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2022年中国（出海网）跨境电商选品在线展会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6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2022年CCEE全球跨境电商展览会线上展会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6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2022印尼国际消费类电子及家用电器展线上展会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6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2022印尼国际玩具及婴童用品展线上展会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6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2022越南国际玩具及婴童用品展线上展会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6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2022马来西亚巨盟玩具婴童展线上展会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6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2022出海网（全球）跨境电商线上展览会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6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2022越南国际消费类电子及家用电器展线上展会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6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2022印尼国际礼品及家庭用品展线上展会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6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2022越南国际礼品及家庭用品展线上展会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“美丽在线”数字活动周</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亿百媒会展（上海）有限公司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6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消费电子及电子元件线上展览会</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环球资源广告（深圳）有限公司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6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智能家居及家电线上展览会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6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机动车零件汽配&amp;五金配件线上展览会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6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移动电子线上展览会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6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时尚产品线上展览会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6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建筑及建材线上展览会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6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品质生活线上展览会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6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礼品及赠品线上展览会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6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工业制造加工及服务展览会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6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环球资源电子线上展览会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6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第三届珠海对外贸易数字展览会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Style w:val="8"/>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粤贸全球</w:t>
            </w:r>
            <w:r>
              <w:rPr>
                <w:rStyle w:val="10"/>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线上展览会（</w:t>
            </w:r>
            <w:r>
              <w:rPr>
                <w:rStyle w:val="10"/>
                <w:rFonts w:hint="eastAsia" w:ascii="宋体" w:hAnsi="宋体" w:eastAsia="宋体" w:cs="宋体"/>
                <w:sz w:val="24"/>
                <w:szCs w:val="24"/>
                <w:lang w:val="en-US" w:eastAsia="zh-CN" w:bidi="ar"/>
              </w:rPr>
              <w:t>RCEP</w:t>
            </w:r>
            <w:r>
              <w:rPr>
                <w:rStyle w:val="9"/>
                <w:rFonts w:hint="eastAsia" w:ascii="宋体" w:hAnsi="宋体" w:eastAsia="宋体" w:cs="宋体"/>
                <w:sz w:val="24"/>
                <w:szCs w:val="24"/>
                <w:lang w:val="en-US" w:eastAsia="zh-CN" w:bidi="ar"/>
              </w:rPr>
              <w:t>站</w:t>
            </w:r>
            <w:r>
              <w:rPr>
                <w:rStyle w:val="10"/>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五金建材专场）</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江苏联亚国际展览有限公司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Style w:val="8"/>
                <w:rFonts w:hint="eastAsia" w:ascii="宋体" w:hAnsi="宋体" w:eastAsia="宋体" w:cs="宋体"/>
                <w:sz w:val="24"/>
                <w:szCs w:val="24"/>
                <w:lang w:val="en-US" w:eastAsia="zh-CN" w:bidi="ar"/>
              </w:rPr>
              <w:t>“</w:t>
            </w:r>
            <w:r>
              <w:rPr>
                <w:rStyle w:val="11"/>
                <w:rFonts w:hint="eastAsia" w:ascii="宋体" w:hAnsi="宋体" w:eastAsia="宋体" w:cs="宋体"/>
                <w:sz w:val="24"/>
                <w:szCs w:val="24"/>
                <w:lang w:val="en-US" w:eastAsia="zh-CN" w:bidi="ar"/>
              </w:rPr>
              <w:t>粤贸全球”线上展览会（南美站-纺织品专场）</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Style w:val="8"/>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粤贸全球</w:t>
            </w:r>
            <w:r>
              <w:rPr>
                <w:rStyle w:val="10"/>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线上展览会（东南亚站</w:t>
            </w:r>
            <w:r>
              <w:rPr>
                <w:rStyle w:val="10"/>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泛家居专场）</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Style w:val="8"/>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粤贸全球</w:t>
            </w:r>
            <w:r>
              <w:rPr>
                <w:rStyle w:val="10"/>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线上展览会（拉美站</w:t>
            </w:r>
            <w:r>
              <w:rPr>
                <w:rStyle w:val="10"/>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汽摩配件专场）</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Style w:val="8"/>
                <w:rFonts w:hint="eastAsia" w:ascii="宋体" w:hAnsi="宋体" w:eastAsia="宋体" w:cs="宋体"/>
                <w:sz w:val="24"/>
                <w:szCs w:val="24"/>
                <w:lang w:val="en-US" w:eastAsia="zh-CN" w:bidi="ar"/>
              </w:rPr>
              <w:t>“</w:t>
            </w:r>
            <w:r>
              <w:rPr>
                <w:rStyle w:val="11"/>
                <w:rFonts w:hint="eastAsia" w:ascii="宋体" w:hAnsi="宋体" w:eastAsia="宋体" w:cs="宋体"/>
                <w:sz w:val="24"/>
                <w:szCs w:val="24"/>
                <w:lang w:val="en-US" w:eastAsia="zh-CN" w:bidi="ar"/>
              </w:rPr>
              <w:t>粤贸全球</w:t>
            </w:r>
            <w:r>
              <w:rPr>
                <w:rStyle w:val="12"/>
                <w:rFonts w:hint="eastAsia" w:ascii="宋体" w:hAnsi="宋体" w:eastAsia="宋体" w:cs="宋体"/>
                <w:sz w:val="24"/>
                <w:szCs w:val="24"/>
                <w:lang w:val="en-US" w:eastAsia="zh-CN" w:bidi="ar"/>
              </w:rPr>
              <w:t>”</w:t>
            </w:r>
            <w:r>
              <w:rPr>
                <w:rStyle w:val="11"/>
                <w:rFonts w:hint="eastAsia" w:ascii="宋体" w:hAnsi="宋体" w:eastAsia="宋体" w:cs="宋体"/>
                <w:sz w:val="24"/>
                <w:szCs w:val="24"/>
                <w:lang w:val="en-US" w:eastAsia="zh-CN" w:bidi="ar"/>
              </w:rPr>
              <w:t>线上展览会（欧洲站</w:t>
            </w:r>
            <w:r>
              <w:rPr>
                <w:rStyle w:val="12"/>
                <w:rFonts w:hint="eastAsia" w:ascii="宋体" w:hAnsi="宋体" w:eastAsia="宋体" w:cs="宋体"/>
                <w:sz w:val="24"/>
                <w:szCs w:val="24"/>
                <w:lang w:val="en-US" w:eastAsia="zh-CN" w:bidi="ar"/>
              </w:rPr>
              <w:t>-</w:t>
            </w:r>
            <w:r>
              <w:rPr>
                <w:rStyle w:val="11"/>
                <w:rFonts w:hint="eastAsia" w:ascii="宋体" w:hAnsi="宋体" w:eastAsia="宋体" w:cs="宋体"/>
                <w:sz w:val="24"/>
                <w:szCs w:val="24"/>
                <w:lang w:val="en-US" w:eastAsia="zh-CN" w:bidi="ar"/>
              </w:rPr>
              <w:t>家庭用品专场）</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Style w:val="8"/>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粤贸全球</w:t>
            </w:r>
            <w:r>
              <w:rPr>
                <w:rStyle w:val="10"/>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线上展览会（欧洲站</w:t>
            </w:r>
            <w:r>
              <w:rPr>
                <w:rStyle w:val="10"/>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汽摩配件专场）</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Style w:val="8"/>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粤贸全球</w:t>
            </w:r>
            <w:r>
              <w:rPr>
                <w:rStyle w:val="10"/>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线上展览会（拉美站</w:t>
            </w:r>
            <w:r>
              <w:rPr>
                <w:rStyle w:val="10"/>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五金建材专场）</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Style w:val="8"/>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粤贸全球</w:t>
            </w:r>
            <w:r>
              <w:rPr>
                <w:rStyle w:val="10"/>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线上展览会（中东站</w:t>
            </w:r>
            <w:r>
              <w:rPr>
                <w:rStyle w:val="10"/>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泛家居专场）</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Style w:val="8"/>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粤贸全球</w:t>
            </w:r>
            <w:r>
              <w:rPr>
                <w:rStyle w:val="10"/>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线上展览会（</w:t>
            </w:r>
            <w:r>
              <w:rPr>
                <w:rStyle w:val="10"/>
                <w:rFonts w:hint="eastAsia" w:ascii="宋体" w:hAnsi="宋体" w:eastAsia="宋体" w:cs="宋体"/>
                <w:sz w:val="24"/>
                <w:szCs w:val="24"/>
                <w:lang w:val="en-US" w:eastAsia="zh-CN" w:bidi="ar"/>
              </w:rPr>
              <w:t>RCEP</w:t>
            </w:r>
            <w:r>
              <w:rPr>
                <w:rStyle w:val="9"/>
                <w:rFonts w:hint="eastAsia" w:ascii="宋体" w:hAnsi="宋体" w:eastAsia="宋体" w:cs="宋体"/>
                <w:sz w:val="24"/>
                <w:szCs w:val="24"/>
                <w:lang w:val="en-US" w:eastAsia="zh-CN" w:bidi="ar"/>
              </w:rPr>
              <w:t>站</w:t>
            </w:r>
            <w:r>
              <w:rPr>
                <w:rStyle w:val="10"/>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家庭用品专场）</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Style w:val="8"/>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粤贸全球</w:t>
            </w:r>
            <w:r>
              <w:rPr>
                <w:rStyle w:val="10"/>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线上展览会（</w:t>
            </w:r>
            <w:r>
              <w:rPr>
                <w:rStyle w:val="13"/>
                <w:rFonts w:hint="eastAsia" w:ascii="宋体" w:hAnsi="宋体" w:eastAsia="宋体" w:cs="宋体"/>
                <w:sz w:val="24"/>
                <w:szCs w:val="24"/>
                <w:lang w:val="en-US" w:eastAsia="zh-CN" w:bidi="ar"/>
              </w:rPr>
              <w:t>RCEP</w:t>
            </w:r>
            <w:r>
              <w:rPr>
                <w:rStyle w:val="9"/>
                <w:rFonts w:hint="eastAsia" w:ascii="宋体" w:hAnsi="宋体" w:eastAsia="宋体" w:cs="宋体"/>
                <w:sz w:val="24"/>
                <w:szCs w:val="24"/>
                <w:lang w:val="en-US" w:eastAsia="zh-CN" w:bidi="ar"/>
              </w:rPr>
              <w:t>站</w:t>
            </w:r>
            <w:r>
              <w:rPr>
                <w:rStyle w:val="10"/>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汽摩配件专场）</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中国家庭用品礼品（南美）线上展览会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Style w:val="8"/>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粤贸全球</w:t>
            </w:r>
            <w:r>
              <w:rPr>
                <w:rStyle w:val="10"/>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线上展览会（中东欧站</w:t>
            </w:r>
            <w:r>
              <w:rPr>
                <w:rStyle w:val="10"/>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泛家居专场）</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Style w:val="8"/>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粤贸全球</w:t>
            </w:r>
            <w:r>
              <w:rPr>
                <w:rStyle w:val="10"/>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线上展览会（欧洲站</w:t>
            </w:r>
            <w:r>
              <w:rPr>
                <w:rStyle w:val="10"/>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纺织品专场）</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中国机电产品（非洲）线上展览会</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Style w:val="8"/>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粤贸全球</w:t>
            </w:r>
            <w:r>
              <w:rPr>
                <w:rStyle w:val="10"/>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线上展览会（欧洲站</w:t>
            </w:r>
            <w:r>
              <w:rPr>
                <w:rStyle w:val="10"/>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五金建材专场）</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国际鞋服及消费品线上展会（VISAF）</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中国轻工工艺品进出口商会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粤贸全球家居消费品欧洲专场</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粤贸全球家居消费品北美专场</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2022粤贸全球·广东商品线上展览会（印度家居及消费品专场）</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广州国际商品展贸城股份有限公司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2022粤贸全球·广东商品线上展览会（斯里兰卡家居及消费品专场）</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2022粤贸全球·广东商品线上展览会（孟加拉家居及消费品专场）</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2022粤贸全球·广东商品线上展览会（南亚及RCEP地区家居及消费品专场）</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广东纺织服装箱包鞋类非洲展</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广东广贸天下网络科技有限公司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广东智能家电与信息技术非洲展</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广东建材五金非洲展</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广东智能家居与酒店用品非洲展</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广东智能家电与信息技术亚洲展</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广东生物科技与光机电亚洲展</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广东智能家居与酒店用品亚洲展</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广东纺织服装箱包鞋类亚洲展</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广东智能家电与信息技术美洲展</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广东农副食品、水产非洲展</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广东智能家居与酒店用品美洲展</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广东纺织服装箱包鞋类美洲展</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广东智能家电与信息技术欧洲展</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108</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广东建材五金澳洲展</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广东智能家居与酒店用品欧洲展</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第131届广交会（线上）</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第132届广交会（线上）</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香港贸发局香港国际珠宝展</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香港贸易发展局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香港贸发局香港国际春季灯饰展</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香港贸发局香港春季电子产品展</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香港贸发局国际资讯科技博览</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116</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香港贸发局香港家庭用品展</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香港贸发局香港礼品及赠品展</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118</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香港国际印刷及包装展</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香港贸发局香港国际医疗及保健展</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香港贸发局香港钟表展 / 国际名表荟萃</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121</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香港贸发局香港秋季电子产品展</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国际电子组件及生产技术展</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国际环保博览</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124</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香港国际户外及科技照明博览</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香港贸发局香港国际秋季灯饰展</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w:t>
            </w:r>
          </w:p>
        </w:tc>
        <w:tc>
          <w:tcPr>
            <w:tcW w:w="6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香港贸发局香港国际眼镜展</w:t>
            </w: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4"/>
                <w:szCs w:val="24"/>
                <w:u w:val="none"/>
              </w:rPr>
            </w:pP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大标宋简体">
    <w:panose1 w:val="03000509000000000000"/>
    <w:charset w:val="86"/>
    <w:family w:val="script"/>
    <w:pitch w:val="default"/>
    <w:sig w:usb0="00000001"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kM2E3MmY0ODQwN2NiNjg4MTZmOTNiNjc3YjhiNzYifQ=="/>
  </w:docVars>
  <w:rsids>
    <w:rsidRoot w:val="3ADF3F0D"/>
    <w:rsid w:val="3ADF3F0D"/>
    <w:rsid w:val="FFF7D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32"/>
    </w:rPr>
  </w:style>
  <w:style w:type="paragraph" w:styleId="3">
    <w:name w:val="Body Text 2"/>
    <w:basedOn w:val="1"/>
    <w:qFormat/>
    <w:uiPriority w:val="99"/>
    <w:pPr>
      <w:spacing w:before="240"/>
    </w:pPr>
    <w:rPr>
      <w:color w:val="FF0000"/>
      <w:kern w:val="0"/>
    </w:rPr>
  </w:style>
  <w:style w:type="paragraph" w:styleId="4">
    <w:name w:val="Plain Text"/>
    <w:basedOn w:val="1"/>
    <w:qFormat/>
    <w:uiPriority w:val="0"/>
    <w:rPr>
      <w:rFonts w:ascii="宋体" w:hAnsi="Courier New" w:cs="Courier New"/>
      <w:kern w:val="2"/>
      <w:sz w:val="21"/>
      <w:szCs w:val="21"/>
    </w:rPr>
  </w:style>
  <w:style w:type="paragraph" w:styleId="5">
    <w:name w:val="footer"/>
    <w:basedOn w:val="1"/>
    <w:qFormat/>
    <w:uiPriority w:val="0"/>
    <w:pPr>
      <w:tabs>
        <w:tab w:val="center" w:pos="4153"/>
        <w:tab w:val="right" w:pos="8306"/>
      </w:tabs>
      <w:snapToGrid w:val="0"/>
      <w:jc w:val="left"/>
    </w:pPr>
    <w:rPr>
      <w:sz w:val="18"/>
    </w:rPr>
  </w:style>
  <w:style w:type="character" w:customStyle="1" w:styleId="8">
    <w:name w:val="font71"/>
    <w:basedOn w:val="7"/>
    <w:qFormat/>
    <w:uiPriority w:val="0"/>
    <w:rPr>
      <w:rFonts w:hint="eastAsia" w:ascii="宋体" w:hAnsi="宋体" w:eastAsia="宋体" w:cs="宋体"/>
      <w:color w:val="000000"/>
      <w:sz w:val="24"/>
      <w:szCs w:val="24"/>
      <w:u w:val="none"/>
    </w:rPr>
  </w:style>
  <w:style w:type="character" w:customStyle="1" w:styleId="9">
    <w:name w:val="font51"/>
    <w:basedOn w:val="7"/>
    <w:qFormat/>
    <w:uiPriority w:val="0"/>
    <w:rPr>
      <w:rFonts w:hint="eastAsia" w:ascii="宋体" w:hAnsi="宋体" w:eastAsia="宋体" w:cs="宋体"/>
      <w:color w:val="000000"/>
      <w:sz w:val="24"/>
      <w:szCs w:val="24"/>
      <w:u w:val="none"/>
    </w:rPr>
  </w:style>
  <w:style w:type="character" w:customStyle="1" w:styleId="10">
    <w:name w:val="font101"/>
    <w:basedOn w:val="7"/>
    <w:qFormat/>
    <w:uiPriority w:val="0"/>
    <w:rPr>
      <w:rFonts w:hint="eastAsia" w:ascii="宋体" w:hAnsi="宋体" w:eastAsia="宋体" w:cs="宋体"/>
      <w:color w:val="000000"/>
      <w:sz w:val="24"/>
      <w:szCs w:val="24"/>
      <w:u w:val="none"/>
    </w:rPr>
  </w:style>
  <w:style w:type="character" w:customStyle="1" w:styleId="11">
    <w:name w:val="font2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宋体" w:hAnsi="宋体" w:eastAsia="宋体" w:cs="宋体"/>
      <w:color w:val="000000"/>
      <w:sz w:val="24"/>
      <w:szCs w:val="24"/>
      <w:u w:val="none"/>
    </w:rPr>
  </w:style>
  <w:style w:type="character" w:customStyle="1" w:styleId="13">
    <w:name w:val="font9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2542</Words>
  <Characters>2793</Characters>
  <Lines>0</Lines>
  <Paragraphs>0</Paragraphs>
  <TotalTime>1</TotalTime>
  <ScaleCrop>false</ScaleCrop>
  <LinksUpToDate>false</LinksUpToDate>
  <CharactersWithSpaces>3049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2022-11-08T17:14:00Z</dcterms:created>
  <dc:creator>呱红</dc:creator>
  <cp:lastModifiedBy>user</cp:lastModifiedBy>
  <cp:lastPrinted>2022-11-11T16:24:15Z</cp:lastPrinted>
  <dcterms:modified xsi:type="dcterms:W3CDTF">2022-11-11T16:25:07Z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9D85BCA5ACFD4E4CACDD1941A4CFF6DA</vt:lpwstr>
  </property>
</Properties>
</file>