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hint="eastAsia" w:ascii="黑体" w:hAnsi="黑体" w:eastAsia="黑体" w:cs="黑体"/>
          <w:sz w:val="32"/>
          <w:szCs w:val="32"/>
          <w:lang w:eastAsia="zh-CN"/>
        </w:rPr>
      </w:pPr>
      <w:r>
        <w:rPr>
          <w:rFonts w:hint="eastAsia" w:ascii="黑体" w:hAnsi="黑体" w:eastAsia="黑体" w:cs="黑体"/>
          <w:sz w:val="32"/>
          <w:szCs w:val="32"/>
          <w:lang w:eastAsia="zh-CN"/>
        </w:rPr>
        <w:t>附件</w:t>
      </w:r>
    </w:p>
    <w:p>
      <w:pPr>
        <w:bidi w:val="0"/>
        <w:rPr>
          <w:rFonts w:hint="eastAsia"/>
          <w:lang w:eastAsia="zh-CN"/>
        </w:rPr>
      </w:pPr>
    </w:p>
    <w:p>
      <w:pPr>
        <w:spacing w:line="560" w:lineRule="exact"/>
        <w:jc w:val="center"/>
        <w:rPr>
          <w:rFonts w:hint="eastAsia" w:ascii="仿宋_GB2312" w:hAnsi="仿宋_GB2312" w:eastAsia="仿宋_GB2312" w:cs="仿宋_GB2312"/>
          <w:b/>
          <w:bCs/>
          <w:kern w:val="2"/>
          <w:sz w:val="44"/>
          <w:szCs w:val="44"/>
          <w:lang w:val="en-US" w:eastAsia="zh-CN" w:bidi="ar-SA"/>
        </w:rPr>
      </w:pPr>
      <w:r>
        <w:rPr>
          <w:rFonts w:hint="eastAsia" w:ascii="方正小标宋简体" w:hAnsi="方正小标宋简体" w:eastAsia="方正小标宋简体" w:cs="方正小标宋简体"/>
          <w:b w:val="0"/>
          <w:bCs w:val="0"/>
          <w:kern w:val="2"/>
          <w:sz w:val="44"/>
          <w:szCs w:val="44"/>
          <w:lang w:val="en-US" w:eastAsia="zh-CN" w:bidi="ar-SA"/>
        </w:rPr>
        <w:t>汕头市中心城区管道天然气延伸服务                 收费项目目录清单</w:t>
      </w:r>
    </w:p>
    <w:p>
      <w:pPr>
        <w:spacing w:line="560" w:lineRule="exact"/>
        <w:jc w:val="center"/>
        <w:rPr>
          <w:rFonts w:hint="eastAsia" w:ascii="仿宋_GB2312" w:hAnsi="仿宋_GB2312" w:eastAsia="仿宋_GB2312" w:cs="仿宋_GB2312"/>
          <w:b/>
          <w:bCs/>
          <w:kern w:val="2"/>
          <w:sz w:val="44"/>
          <w:szCs w:val="44"/>
          <w:lang w:val="en-US" w:eastAsia="zh-CN" w:bidi="ar-SA"/>
        </w:rPr>
      </w:pPr>
    </w:p>
    <w:tbl>
      <w:tblPr>
        <w:tblStyle w:val="3"/>
        <w:tblW w:w="10138" w:type="dxa"/>
        <w:jc w:val="center"/>
        <w:tblLayout w:type="fixed"/>
        <w:tblCellMar>
          <w:top w:w="0" w:type="dxa"/>
          <w:left w:w="108" w:type="dxa"/>
          <w:bottom w:w="0" w:type="dxa"/>
          <w:right w:w="108" w:type="dxa"/>
        </w:tblCellMar>
      </w:tblPr>
      <w:tblGrid>
        <w:gridCol w:w="1587"/>
        <w:gridCol w:w="1497"/>
        <w:gridCol w:w="7054"/>
      </w:tblGrid>
      <w:tr>
        <w:tblPrEx>
          <w:tblCellMar>
            <w:top w:w="0" w:type="dxa"/>
            <w:left w:w="108" w:type="dxa"/>
            <w:bottom w:w="0" w:type="dxa"/>
            <w:right w:w="108" w:type="dxa"/>
          </w:tblCellMar>
        </w:tblPrEx>
        <w:trPr>
          <w:trHeight w:val="340" w:hRule="atLeast"/>
          <w:tblHeader/>
          <w:jc w:val="center"/>
        </w:trPr>
        <w:tc>
          <w:tcPr>
            <w:tcW w:w="1587" w:type="dxa"/>
            <w:vMerge w:val="restart"/>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黑体" w:hAnsi="黑体" w:eastAsia="黑体" w:cs="黑体"/>
                <w:b w:val="0"/>
                <w:bCs w:val="0"/>
                <w:color w:val="000000"/>
                <w:szCs w:val="21"/>
              </w:rPr>
            </w:pPr>
            <w:r>
              <w:rPr>
                <w:rFonts w:hint="eastAsia" w:ascii="黑体" w:hAnsi="黑体" w:eastAsia="黑体" w:cs="黑体"/>
                <w:b w:val="0"/>
                <w:bCs w:val="0"/>
                <w:color w:val="000000"/>
                <w:szCs w:val="21"/>
              </w:rPr>
              <w:t>分类</w:t>
            </w:r>
          </w:p>
        </w:tc>
        <w:tc>
          <w:tcPr>
            <w:tcW w:w="1497" w:type="dxa"/>
            <w:vMerge w:val="restart"/>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黑体" w:hAnsi="黑体" w:eastAsia="黑体" w:cs="黑体"/>
                <w:b w:val="0"/>
                <w:bCs w:val="0"/>
                <w:color w:val="000000"/>
                <w:szCs w:val="21"/>
              </w:rPr>
            </w:pPr>
            <w:r>
              <w:rPr>
                <w:rFonts w:hint="eastAsia" w:ascii="黑体" w:hAnsi="黑体" w:eastAsia="黑体" w:cs="黑体"/>
                <w:b w:val="0"/>
                <w:bCs w:val="0"/>
                <w:color w:val="000000"/>
                <w:szCs w:val="21"/>
              </w:rPr>
              <w:t>收费服务项目</w:t>
            </w:r>
          </w:p>
        </w:tc>
        <w:tc>
          <w:tcPr>
            <w:tcW w:w="7054" w:type="dxa"/>
            <w:vMerge w:val="restart"/>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黑体" w:hAnsi="黑体" w:eastAsia="黑体" w:cs="黑体"/>
                <w:b w:val="0"/>
                <w:bCs w:val="0"/>
                <w:color w:val="000000"/>
                <w:szCs w:val="21"/>
              </w:rPr>
            </w:pPr>
            <w:r>
              <w:rPr>
                <w:rFonts w:hint="eastAsia" w:ascii="黑体" w:hAnsi="黑体" w:eastAsia="黑体" w:cs="黑体"/>
                <w:b w:val="0"/>
                <w:bCs w:val="0"/>
                <w:color w:val="000000"/>
                <w:szCs w:val="21"/>
              </w:rPr>
              <w:t>具体内容</w:t>
            </w:r>
          </w:p>
        </w:tc>
      </w:tr>
      <w:tr>
        <w:tblPrEx>
          <w:tblCellMar>
            <w:top w:w="0" w:type="dxa"/>
            <w:left w:w="108" w:type="dxa"/>
            <w:bottom w:w="0" w:type="dxa"/>
            <w:right w:w="108" w:type="dxa"/>
          </w:tblCellMar>
        </w:tblPrEx>
        <w:trPr>
          <w:trHeight w:val="312" w:hRule="atLeast"/>
          <w:tblHeader/>
          <w:jc w:val="center"/>
        </w:trPr>
        <w:tc>
          <w:tcPr>
            <w:tcW w:w="1587" w:type="dxa"/>
            <w:vMerge w:val="continue"/>
            <w:tcBorders>
              <w:top w:val="single" w:color="000000" w:sz="4" w:space="0"/>
              <w:left w:val="single" w:color="000000" w:sz="4" w:space="0"/>
              <w:bottom w:val="single" w:color="000000" w:sz="4" w:space="0"/>
              <w:right w:val="single" w:color="000000" w:sz="4" w:space="0"/>
            </w:tcBorders>
            <w:noWrap w:val="0"/>
            <w:vAlign w:val="center"/>
          </w:tcPr>
          <w:p>
            <w:pPr>
              <w:autoSpaceDN w:val="0"/>
              <w:jc w:val="center"/>
              <w:rPr>
                <w:rFonts w:hint="default" w:ascii="Times New Roman" w:hAnsi="Times New Roman" w:cs="Times New Roman"/>
                <w:color w:val="000000"/>
                <w:szCs w:val="21"/>
              </w:rPr>
            </w:pPr>
          </w:p>
        </w:tc>
        <w:tc>
          <w:tcPr>
            <w:tcW w:w="1497" w:type="dxa"/>
            <w:vMerge w:val="continue"/>
            <w:tcBorders>
              <w:top w:val="single" w:color="000000" w:sz="4" w:space="0"/>
              <w:left w:val="single" w:color="000000" w:sz="4" w:space="0"/>
              <w:bottom w:val="single" w:color="000000" w:sz="4" w:space="0"/>
              <w:right w:val="single" w:color="000000" w:sz="4" w:space="0"/>
            </w:tcBorders>
            <w:noWrap w:val="0"/>
            <w:vAlign w:val="center"/>
          </w:tcPr>
          <w:p>
            <w:pPr>
              <w:autoSpaceDN w:val="0"/>
              <w:jc w:val="center"/>
              <w:rPr>
                <w:rFonts w:hint="default" w:ascii="Times New Roman" w:hAnsi="Times New Roman" w:cs="Times New Roman"/>
                <w:color w:val="000000"/>
                <w:szCs w:val="21"/>
              </w:rPr>
            </w:pPr>
          </w:p>
        </w:tc>
        <w:tc>
          <w:tcPr>
            <w:tcW w:w="7054" w:type="dxa"/>
            <w:vMerge w:val="continue"/>
            <w:tcBorders>
              <w:top w:val="single" w:color="000000" w:sz="4" w:space="0"/>
              <w:left w:val="single" w:color="000000" w:sz="4" w:space="0"/>
              <w:bottom w:val="single" w:color="000000" w:sz="4" w:space="0"/>
              <w:right w:val="single" w:color="000000" w:sz="4" w:space="0"/>
            </w:tcBorders>
            <w:noWrap w:val="0"/>
            <w:vAlign w:val="center"/>
          </w:tcPr>
          <w:p>
            <w:pPr>
              <w:autoSpaceDN w:val="0"/>
              <w:jc w:val="center"/>
              <w:rPr>
                <w:rFonts w:hint="default" w:ascii="Times New Roman" w:hAnsi="Times New Roman" w:cs="Times New Roman"/>
                <w:color w:val="000000"/>
                <w:szCs w:val="21"/>
              </w:rPr>
            </w:pPr>
          </w:p>
        </w:tc>
      </w:tr>
      <w:tr>
        <w:tblPrEx>
          <w:tblCellMar>
            <w:top w:w="0" w:type="dxa"/>
            <w:left w:w="108" w:type="dxa"/>
            <w:bottom w:w="0" w:type="dxa"/>
            <w:right w:w="108" w:type="dxa"/>
          </w:tblCellMar>
        </w:tblPrEx>
        <w:trPr>
          <w:trHeight w:val="956" w:hRule="atLeast"/>
          <w:jc w:val="center"/>
        </w:trPr>
        <w:tc>
          <w:tcPr>
            <w:tcW w:w="1587" w:type="dxa"/>
            <w:tcBorders>
              <w:top w:val="single" w:color="000000" w:sz="4" w:space="0"/>
              <w:left w:val="single" w:color="000000" w:sz="4" w:space="0"/>
              <w:bottom w:val="single" w:color="auto" w:sz="4" w:space="0"/>
              <w:right w:val="single" w:color="000000" w:sz="4" w:space="0"/>
            </w:tcBorders>
            <w:noWrap w:val="0"/>
            <w:vAlign w:val="center"/>
          </w:tcPr>
          <w:p>
            <w:pPr>
              <w:autoSpaceDN w:val="0"/>
              <w:jc w:val="center"/>
              <w:textAlignment w:val="center"/>
              <w:rPr>
                <w:rFonts w:hint="default" w:ascii="Times New Roman" w:hAnsi="Times New Roman" w:cs="Times New Roman"/>
                <w:color w:val="000000"/>
                <w:szCs w:val="21"/>
              </w:rPr>
            </w:pPr>
            <w:r>
              <w:rPr>
                <w:rFonts w:hint="default" w:ascii="Times New Roman" w:hAnsi="Times New Roman" w:cs="Times New Roman"/>
                <w:color w:val="000000"/>
                <w:szCs w:val="21"/>
              </w:rPr>
              <w:t>一、居民用户改管服务</w:t>
            </w:r>
          </w:p>
        </w:tc>
        <w:tc>
          <w:tcPr>
            <w:tcW w:w="1497" w:type="dxa"/>
            <w:tcBorders>
              <w:top w:val="single" w:color="000000" w:sz="4" w:space="0"/>
              <w:left w:val="single" w:color="000000" w:sz="4" w:space="0"/>
              <w:bottom w:val="single" w:color="auto" w:sz="4" w:space="0"/>
              <w:right w:val="single" w:color="000000" w:sz="4" w:space="0"/>
            </w:tcBorders>
            <w:noWrap w:val="0"/>
            <w:vAlign w:val="center"/>
          </w:tcPr>
          <w:p>
            <w:pPr>
              <w:autoSpaceDN w:val="0"/>
              <w:jc w:val="left"/>
              <w:textAlignment w:val="center"/>
              <w:rPr>
                <w:rFonts w:hint="default" w:ascii="Times New Roman" w:hAnsi="Times New Roman" w:cs="Times New Roman"/>
                <w:color w:val="000000"/>
                <w:szCs w:val="21"/>
              </w:rPr>
            </w:pPr>
            <w:r>
              <w:rPr>
                <w:rFonts w:hint="default" w:ascii="Times New Roman" w:hAnsi="Times New Roman" w:cs="Times New Roman"/>
                <w:color w:val="000000"/>
                <w:szCs w:val="21"/>
              </w:rPr>
              <w:t>1.燃气管道安装及拆除</w:t>
            </w:r>
          </w:p>
        </w:tc>
        <w:tc>
          <w:tcPr>
            <w:tcW w:w="7054"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default" w:ascii="Times New Roman" w:hAnsi="Times New Roman" w:cs="Times New Roman"/>
                <w:color w:val="000000"/>
                <w:szCs w:val="21"/>
              </w:rPr>
            </w:pPr>
            <w:r>
              <w:rPr>
                <w:rFonts w:hint="default" w:ascii="Times New Roman" w:hAnsi="Times New Roman" w:cs="Times New Roman"/>
                <w:color w:val="000000"/>
                <w:szCs w:val="21"/>
              </w:rPr>
              <w:t>应用户要求改动、拆装及更换不同燃气管道产生的安装费用，包括材料及辅材等费用；按实际管径大小、长度计算。</w:t>
            </w:r>
          </w:p>
        </w:tc>
      </w:tr>
      <w:tr>
        <w:tblPrEx>
          <w:tblCellMar>
            <w:top w:w="0" w:type="dxa"/>
            <w:left w:w="108" w:type="dxa"/>
            <w:bottom w:w="0" w:type="dxa"/>
            <w:right w:w="108" w:type="dxa"/>
          </w:tblCellMar>
        </w:tblPrEx>
        <w:trPr>
          <w:trHeight w:val="801" w:hRule="atLeast"/>
          <w:jc w:val="center"/>
        </w:trPr>
        <w:tc>
          <w:tcPr>
            <w:tcW w:w="1587" w:type="dxa"/>
            <w:vMerge w:val="restart"/>
            <w:tcBorders>
              <w:top w:val="single" w:color="000000" w:sz="4" w:space="0"/>
              <w:left w:val="single" w:color="000000" w:sz="4" w:space="0"/>
              <w:right w:val="single" w:color="000000" w:sz="4" w:space="0"/>
            </w:tcBorders>
            <w:noWrap w:val="0"/>
            <w:vAlign w:val="center"/>
          </w:tcPr>
          <w:p>
            <w:pPr>
              <w:autoSpaceDN w:val="0"/>
              <w:jc w:val="center"/>
              <w:textAlignment w:val="center"/>
              <w:rPr>
                <w:rFonts w:hint="default" w:ascii="Times New Roman" w:hAnsi="Times New Roman" w:cs="Times New Roman"/>
                <w:color w:val="000000"/>
                <w:szCs w:val="21"/>
              </w:rPr>
            </w:pPr>
            <w:r>
              <w:rPr>
                <w:rFonts w:hint="default" w:ascii="Times New Roman" w:hAnsi="Times New Roman" w:cs="Times New Roman"/>
                <w:color w:val="000000"/>
                <w:szCs w:val="21"/>
              </w:rPr>
              <w:t>二、其他服务</w:t>
            </w:r>
          </w:p>
        </w:tc>
        <w:tc>
          <w:tcPr>
            <w:tcW w:w="1497" w:type="dxa"/>
            <w:tcBorders>
              <w:top w:val="single" w:color="000000" w:sz="4" w:space="0"/>
              <w:left w:val="single" w:color="000000" w:sz="4" w:space="0"/>
              <w:bottom w:val="single" w:color="auto" w:sz="4" w:space="0"/>
              <w:right w:val="single" w:color="000000" w:sz="4" w:space="0"/>
            </w:tcBorders>
            <w:noWrap w:val="0"/>
            <w:vAlign w:val="center"/>
          </w:tcPr>
          <w:p>
            <w:pPr>
              <w:autoSpaceDN w:val="0"/>
              <w:jc w:val="left"/>
              <w:textAlignment w:val="center"/>
              <w:rPr>
                <w:rFonts w:hint="default" w:ascii="Times New Roman" w:hAnsi="Times New Roman" w:cs="Times New Roman"/>
                <w:color w:val="000000"/>
                <w:szCs w:val="21"/>
              </w:rPr>
            </w:pPr>
            <w:r>
              <w:rPr>
                <w:rFonts w:hint="default" w:ascii="Times New Roman" w:hAnsi="Times New Roman" w:cs="Times New Roman"/>
                <w:color w:val="000000"/>
                <w:szCs w:val="21"/>
              </w:rPr>
              <w:t>2</w:t>
            </w:r>
            <w:r>
              <w:rPr>
                <w:rFonts w:hint="eastAsia" w:ascii="Times New Roman" w:hAnsi="Times New Roman" w:cs="Times New Roman"/>
                <w:color w:val="000000"/>
                <w:szCs w:val="21"/>
                <w:lang w:val="en-US" w:eastAsia="zh-CN"/>
              </w:rPr>
              <w:t>.</w:t>
            </w:r>
            <w:r>
              <w:rPr>
                <w:rFonts w:hint="default" w:ascii="Times New Roman" w:hAnsi="Times New Roman" w:cs="Times New Roman"/>
                <w:color w:val="000000"/>
                <w:szCs w:val="21"/>
              </w:rPr>
              <w:t>高空作业（吊绳）</w:t>
            </w:r>
          </w:p>
        </w:tc>
        <w:tc>
          <w:tcPr>
            <w:tcW w:w="7054"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default" w:ascii="Times New Roman" w:hAnsi="Times New Roman" w:cs="Times New Roman"/>
                <w:color w:val="000000"/>
                <w:szCs w:val="21"/>
              </w:rPr>
            </w:pPr>
            <w:r>
              <w:rPr>
                <w:rFonts w:hint="default" w:ascii="Times New Roman" w:hAnsi="Times New Roman" w:cs="Times New Roman"/>
                <w:color w:val="000000"/>
                <w:szCs w:val="21"/>
              </w:rPr>
              <w:t>室内无法操作，且操作物在二楼及以上外墙，需安全带、安全绳、吊篮作业或搭设排栅（脚手架）时产生的费用，包括人工费、材料费。</w:t>
            </w:r>
          </w:p>
        </w:tc>
      </w:tr>
      <w:tr>
        <w:tblPrEx>
          <w:tblCellMar>
            <w:top w:w="0" w:type="dxa"/>
            <w:left w:w="108" w:type="dxa"/>
            <w:bottom w:w="0" w:type="dxa"/>
            <w:right w:w="108" w:type="dxa"/>
          </w:tblCellMar>
        </w:tblPrEx>
        <w:trPr>
          <w:trHeight w:val="826" w:hRule="atLeast"/>
          <w:jc w:val="center"/>
        </w:trPr>
        <w:tc>
          <w:tcPr>
            <w:tcW w:w="1587" w:type="dxa"/>
            <w:vMerge w:val="continue"/>
            <w:tcBorders>
              <w:left w:val="single" w:color="000000" w:sz="4" w:space="0"/>
              <w:right w:val="single" w:color="000000" w:sz="4" w:space="0"/>
            </w:tcBorders>
            <w:noWrap w:val="0"/>
            <w:vAlign w:val="center"/>
          </w:tcPr>
          <w:p>
            <w:pPr>
              <w:autoSpaceDN w:val="0"/>
              <w:jc w:val="center"/>
              <w:textAlignment w:val="center"/>
              <w:rPr>
                <w:rFonts w:hint="default" w:ascii="Times New Roman" w:hAnsi="Times New Roman" w:cs="Times New Roman"/>
                <w:color w:val="000000"/>
                <w:szCs w:val="21"/>
              </w:rPr>
            </w:pPr>
          </w:p>
        </w:tc>
        <w:tc>
          <w:tcPr>
            <w:tcW w:w="1497" w:type="dxa"/>
            <w:tcBorders>
              <w:top w:val="single" w:color="000000" w:sz="4" w:space="0"/>
              <w:left w:val="single" w:color="000000" w:sz="4" w:space="0"/>
              <w:bottom w:val="single" w:color="auto" w:sz="4" w:space="0"/>
              <w:right w:val="single" w:color="000000" w:sz="4" w:space="0"/>
            </w:tcBorders>
            <w:noWrap w:val="0"/>
            <w:vAlign w:val="center"/>
          </w:tcPr>
          <w:p>
            <w:pPr>
              <w:autoSpaceDN w:val="0"/>
              <w:jc w:val="left"/>
              <w:textAlignment w:val="center"/>
              <w:rPr>
                <w:rFonts w:hint="default" w:ascii="Times New Roman" w:hAnsi="Times New Roman" w:cs="Times New Roman"/>
                <w:color w:val="000000"/>
                <w:szCs w:val="21"/>
              </w:rPr>
            </w:pPr>
            <w:r>
              <w:rPr>
                <w:rFonts w:hint="default" w:ascii="Times New Roman" w:hAnsi="Times New Roman" w:cs="Times New Roman"/>
                <w:color w:val="000000"/>
                <w:szCs w:val="21"/>
              </w:rPr>
              <w:t>3</w:t>
            </w:r>
            <w:r>
              <w:rPr>
                <w:rFonts w:hint="eastAsia" w:ascii="Times New Roman" w:hAnsi="Times New Roman" w:cs="Times New Roman"/>
                <w:color w:val="000000"/>
                <w:szCs w:val="21"/>
                <w:lang w:val="en-US" w:eastAsia="zh-CN"/>
              </w:rPr>
              <w:t>.</w:t>
            </w:r>
            <w:r>
              <w:rPr>
                <w:rFonts w:hint="default" w:ascii="Times New Roman" w:hAnsi="Times New Roman" w:cs="Times New Roman"/>
                <w:color w:val="000000"/>
                <w:szCs w:val="21"/>
              </w:rPr>
              <w:t>带气作业（停气复供）</w:t>
            </w:r>
          </w:p>
        </w:tc>
        <w:tc>
          <w:tcPr>
            <w:tcW w:w="7054"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default" w:ascii="Times New Roman" w:hAnsi="Times New Roman" w:cs="Times New Roman"/>
                <w:color w:val="000000"/>
                <w:szCs w:val="21"/>
              </w:rPr>
            </w:pPr>
            <w:r>
              <w:rPr>
                <w:rFonts w:hint="default" w:ascii="Times New Roman" w:hAnsi="Times New Roman" w:cs="Times New Roman"/>
                <w:color w:val="000000"/>
                <w:szCs w:val="21"/>
              </w:rPr>
              <w:t>应用户要求产生的停气及恢复供气产生的工程费用，包括复供产生的材料费、人工费。</w:t>
            </w:r>
          </w:p>
        </w:tc>
      </w:tr>
      <w:tr>
        <w:tblPrEx>
          <w:tblCellMar>
            <w:top w:w="0" w:type="dxa"/>
            <w:left w:w="108" w:type="dxa"/>
            <w:bottom w:w="0" w:type="dxa"/>
            <w:right w:w="108" w:type="dxa"/>
          </w:tblCellMar>
        </w:tblPrEx>
        <w:trPr>
          <w:trHeight w:val="733" w:hRule="atLeast"/>
          <w:jc w:val="center"/>
        </w:trPr>
        <w:tc>
          <w:tcPr>
            <w:tcW w:w="1587" w:type="dxa"/>
            <w:vMerge w:val="continue"/>
            <w:tcBorders>
              <w:left w:val="single" w:color="000000" w:sz="4" w:space="0"/>
              <w:bottom w:val="single" w:color="auto" w:sz="4" w:space="0"/>
              <w:right w:val="single" w:color="000000" w:sz="4" w:space="0"/>
            </w:tcBorders>
            <w:noWrap w:val="0"/>
            <w:vAlign w:val="center"/>
          </w:tcPr>
          <w:p>
            <w:pPr>
              <w:autoSpaceDN w:val="0"/>
              <w:jc w:val="center"/>
              <w:textAlignment w:val="center"/>
              <w:rPr>
                <w:rFonts w:hint="default" w:ascii="Times New Roman" w:hAnsi="Times New Roman" w:cs="Times New Roman"/>
                <w:color w:val="000000"/>
                <w:szCs w:val="21"/>
              </w:rPr>
            </w:pPr>
          </w:p>
        </w:tc>
        <w:tc>
          <w:tcPr>
            <w:tcW w:w="1497" w:type="dxa"/>
            <w:tcBorders>
              <w:top w:val="single" w:color="000000" w:sz="4" w:space="0"/>
              <w:left w:val="single" w:color="000000" w:sz="4" w:space="0"/>
              <w:bottom w:val="single" w:color="auto" w:sz="4" w:space="0"/>
              <w:right w:val="single" w:color="000000" w:sz="4" w:space="0"/>
            </w:tcBorders>
            <w:noWrap w:val="0"/>
            <w:vAlign w:val="center"/>
          </w:tcPr>
          <w:p>
            <w:pPr>
              <w:autoSpaceDN w:val="0"/>
              <w:jc w:val="left"/>
              <w:textAlignment w:val="center"/>
              <w:rPr>
                <w:rFonts w:hint="default" w:ascii="Times New Roman" w:hAnsi="Times New Roman" w:cs="Times New Roman"/>
                <w:color w:val="000000"/>
                <w:szCs w:val="21"/>
              </w:rPr>
            </w:pPr>
            <w:r>
              <w:rPr>
                <w:rFonts w:hint="default" w:ascii="Times New Roman" w:hAnsi="Times New Roman" w:cs="Times New Roman"/>
                <w:color w:val="000000"/>
                <w:szCs w:val="21"/>
              </w:rPr>
              <w:t>4</w:t>
            </w:r>
            <w:r>
              <w:rPr>
                <w:rFonts w:hint="eastAsia" w:ascii="Times New Roman" w:hAnsi="Times New Roman" w:cs="Times New Roman"/>
                <w:color w:val="000000"/>
                <w:szCs w:val="21"/>
                <w:lang w:val="en-US" w:eastAsia="zh-CN"/>
              </w:rPr>
              <w:t>.</w:t>
            </w:r>
            <w:r>
              <w:rPr>
                <w:rFonts w:hint="default" w:ascii="Times New Roman" w:hAnsi="Times New Roman" w:cs="Times New Roman"/>
                <w:color w:val="000000"/>
                <w:szCs w:val="21"/>
              </w:rPr>
              <w:t>开凿孔洞</w:t>
            </w:r>
          </w:p>
        </w:tc>
        <w:tc>
          <w:tcPr>
            <w:tcW w:w="7054"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default" w:ascii="Times New Roman" w:hAnsi="Times New Roman" w:cs="Times New Roman"/>
                <w:color w:val="000000"/>
                <w:szCs w:val="21"/>
              </w:rPr>
            </w:pPr>
            <w:r>
              <w:rPr>
                <w:rFonts w:hint="default" w:ascii="Times New Roman" w:hAnsi="Times New Roman" w:cs="Times New Roman"/>
                <w:color w:val="000000"/>
                <w:szCs w:val="21"/>
              </w:rPr>
              <w:t>应用户要求开凿孔洞发生的费用，包括材料费、人工费，按开孔材质、孔径计算。</w:t>
            </w:r>
          </w:p>
        </w:tc>
      </w:tr>
      <w:tr>
        <w:tblPrEx>
          <w:tblCellMar>
            <w:top w:w="0" w:type="dxa"/>
            <w:left w:w="108" w:type="dxa"/>
            <w:bottom w:w="0" w:type="dxa"/>
            <w:right w:w="108" w:type="dxa"/>
          </w:tblCellMar>
        </w:tblPrEx>
        <w:trPr>
          <w:trHeight w:val="759" w:hRule="atLeast"/>
          <w:jc w:val="center"/>
        </w:trPr>
        <w:tc>
          <w:tcPr>
            <w:tcW w:w="1587" w:type="dxa"/>
            <w:vMerge w:val="restart"/>
            <w:tcBorders>
              <w:top w:val="single" w:color="auto" w:sz="4" w:space="0"/>
              <w:left w:val="single" w:color="auto" w:sz="4" w:space="0"/>
              <w:right w:val="single" w:color="000000" w:sz="4" w:space="0"/>
            </w:tcBorders>
            <w:noWrap w:val="0"/>
            <w:vAlign w:val="center"/>
          </w:tcPr>
          <w:p>
            <w:pPr>
              <w:autoSpaceDN w:val="0"/>
              <w:jc w:val="center"/>
              <w:textAlignment w:val="center"/>
              <w:rPr>
                <w:rFonts w:hint="default" w:ascii="Times New Roman" w:hAnsi="Times New Roman" w:cs="Times New Roman"/>
                <w:color w:val="000000"/>
                <w:szCs w:val="21"/>
              </w:rPr>
            </w:pPr>
          </w:p>
          <w:p>
            <w:pPr>
              <w:autoSpaceDN w:val="0"/>
              <w:jc w:val="center"/>
              <w:textAlignment w:val="center"/>
              <w:rPr>
                <w:rFonts w:hint="default" w:ascii="Times New Roman" w:hAnsi="Times New Roman" w:cs="Times New Roman"/>
                <w:color w:val="000000"/>
                <w:szCs w:val="21"/>
              </w:rPr>
            </w:pPr>
          </w:p>
          <w:p>
            <w:pPr>
              <w:autoSpaceDN w:val="0"/>
              <w:jc w:val="center"/>
              <w:textAlignment w:val="center"/>
              <w:rPr>
                <w:rFonts w:hint="default" w:ascii="Times New Roman" w:hAnsi="Times New Roman" w:cs="Times New Roman"/>
                <w:color w:val="000000"/>
                <w:szCs w:val="21"/>
              </w:rPr>
            </w:pPr>
          </w:p>
          <w:p>
            <w:pPr>
              <w:autoSpaceDN w:val="0"/>
              <w:jc w:val="center"/>
              <w:textAlignment w:val="center"/>
              <w:rPr>
                <w:rFonts w:hint="default" w:ascii="Times New Roman" w:hAnsi="Times New Roman" w:cs="Times New Roman"/>
                <w:color w:val="000000"/>
                <w:szCs w:val="21"/>
              </w:rPr>
            </w:pPr>
            <w:r>
              <w:rPr>
                <w:rFonts w:hint="default" w:ascii="Times New Roman" w:hAnsi="Times New Roman" w:cs="Times New Roman"/>
                <w:color w:val="000000"/>
                <w:szCs w:val="21"/>
              </w:rPr>
              <w:t>三、民用户上门维修安装</w:t>
            </w:r>
          </w:p>
        </w:tc>
        <w:tc>
          <w:tcPr>
            <w:tcW w:w="1497" w:type="dxa"/>
            <w:tcBorders>
              <w:top w:val="single" w:color="auto" w:sz="4" w:space="0"/>
              <w:left w:val="single" w:color="000000" w:sz="4" w:space="0"/>
              <w:bottom w:val="single" w:color="000000" w:sz="4" w:space="0"/>
              <w:right w:val="single" w:color="auto" w:sz="4" w:space="0"/>
            </w:tcBorders>
            <w:noWrap w:val="0"/>
            <w:vAlign w:val="center"/>
          </w:tcPr>
          <w:p>
            <w:pPr>
              <w:widowControl/>
              <w:jc w:val="left"/>
              <w:textAlignment w:val="center"/>
              <w:rPr>
                <w:rFonts w:hint="default" w:ascii="Times New Roman" w:hAnsi="Times New Roman" w:cs="Times New Roman"/>
                <w:color w:val="000000"/>
                <w:szCs w:val="21"/>
              </w:rPr>
            </w:pPr>
            <w:r>
              <w:rPr>
                <w:rFonts w:hint="default" w:ascii="Times New Roman" w:hAnsi="Times New Roman" w:cs="Times New Roman"/>
                <w:color w:val="000000"/>
                <w:kern w:val="0"/>
                <w:sz w:val="22"/>
                <w:szCs w:val="22"/>
                <w:lang w:bidi="ar"/>
              </w:rPr>
              <w:t>5</w:t>
            </w:r>
            <w:r>
              <w:rPr>
                <w:rFonts w:hint="eastAsia" w:ascii="Times New Roman" w:hAnsi="Times New Roman" w:cs="Times New Roman"/>
                <w:color w:val="000000"/>
                <w:kern w:val="0"/>
                <w:sz w:val="22"/>
                <w:szCs w:val="22"/>
                <w:lang w:val="en-US" w:eastAsia="zh-CN" w:bidi="ar"/>
              </w:rPr>
              <w:t>.</w:t>
            </w:r>
            <w:r>
              <w:rPr>
                <w:rFonts w:hint="default" w:ascii="Times New Roman" w:hAnsi="Times New Roman" w:cs="Times New Roman"/>
                <w:color w:val="000000"/>
                <w:szCs w:val="21"/>
              </w:rPr>
              <w:t>阀门安装及拆除</w:t>
            </w:r>
          </w:p>
        </w:tc>
        <w:tc>
          <w:tcPr>
            <w:tcW w:w="7054" w:type="dxa"/>
            <w:tcBorders>
              <w:top w:val="single" w:color="000000" w:sz="4" w:space="0"/>
              <w:left w:val="single" w:color="auto" w:sz="4" w:space="0"/>
              <w:bottom w:val="single" w:color="000000" w:sz="4" w:space="0"/>
              <w:right w:val="single" w:color="000000" w:sz="4" w:space="0"/>
            </w:tcBorders>
            <w:noWrap w:val="0"/>
            <w:vAlign w:val="center"/>
          </w:tcPr>
          <w:p>
            <w:pPr>
              <w:autoSpaceDN w:val="0"/>
              <w:jc w:val="left"/>
              <w:textAlignment w:val="center"/>
              <w:rPr>
                <w:rFonts w:hint="default" w:ascii="Times New Roman" w:hAnsi="Times New Roman" w:cs="Times New Roman"/>
                <w:color w:val="000000"/>
                <w:szCs w:val="21"/>
              </w:rPr>
            </w:pPr>
            <w:r>
              <w:rPr>
                <w:rFonts w:hint="default" w:ascii="Times New Roman" w:hAnsi="Times New Roman" w:cs="Times New Roman"/>
                <w:color w:val="000000"/>
                <w:szCs w:val="21"/>
              </w:rPr>
              <w:t>应用户要求改动、拆装及更换阀门产生的安装费用,包括配件、耗材等费用。</w:t>
            </w:r>
          </w:p>
        </w:tc>
      </w:tr>
      <w:tr>
        <w:tblPrEx>
          <w:tblCellMar>
            <w:top w:w="0" w:type="dxa"/>
            <w:left w:w="108" w:type="dxa"/>
            <w:bottom w:w="0" w:type="dxa"/>
            <w:right w:w="108" w:type="dxa"/>
          </w:tblCellMar>
        </w:tblPrEx>
        <w:trPr>
          <w:trHeight w:val="877" w:hRule="atLeast"/>
          <w:jc w:val="center"/>
        </w:trPr>
        <w:tc>
          <w:tcPr>
            <w:tcW w:w="1587" w:type="dxa"/>
            <w:vMerge w:val="continue"/>
            <w:tcBorders>
              <w:left w:val="single" w:color="auto" w:sz="4" w:space="0"/>
              <w:right w:val="single" w:color="000000" w:sz="4" w:space="0"/>
            </w:tcBorders>
            <w:noWrap w:val="0"/>
            <w:vAlign w:val="center"/>
          </w:tcPr>
          <w:p>
            <w:pPr>
              <w:autoSpaceDN w:val="0"/>
              <w:jc w:val="center"/>
              <w:textAlignment w:val="center"/>
              <w:rPr>
                <w:rFonts w:hint="default" w:ascii="Times New Roman" w:hAnsi="Times New Roman" w:cs="Times New Roman"/>
                <w:color w:val="000000"/>
                <w:szCs w:val="21"/>
              </w:rPr>
            </w:pPr>
          </w:p>
        </w:tc>
        <w:tc>
          <w:tcPr>
            <w:tcW w:w="1497" w:type="dxa"/>
            <w:tcBorders>
              <w:top w:val="single" w:color="000000" w:sz="4" w:space="0"/>
              <w:left w:val="single" w:color="000000" w:sz="4" w:space="0"/>
              <w:bottom w:val="single" w:color="000000" w:sz="4" w:space="0"/>
              <w:right w:val="single" w:color="auto" w:sz="4" w:space="0"/>
            </w:tcBorders>
            <w:noWrap w:val="0"/>
            <w:vAlign w:val="center"/>
          </w:tcPr>
          <w:p>
            <w:pPr>
              <w:widowControl/>
              <w:jc w:val="left"/>
              <w:textAlignment w:val="center"/>
              <w:rPr>
                <w:rFonts w:hint="default" w:ascii="Times New Roman" w:hAnsi="Times New Roman" w:cs="Times New Roman"/>
                <w:color w:val="000000"/>
                <w:szCs w:val="21"/>
              </w:rPr>
            </w:pPr>
            <w:r>
              <w:rPr>
                <w:rFonts w:hint="default" w:ascii="Times New Roman" w:hAnsi="Times New Roman" w:cs="Times New Roman"/>
                <w:color w:val="000000"/>
                <w:kern w:val="0"/>
                <w:sz w:val="22"/>
                <w:szCs w:val="22"/>
                <w:lang w:bidi="ar"/>
              </w:rPr>
              <w:t>6</w:t>
            </w:r>
            <w:r>
              <w:rPr>
                <w:rFonts w:hint="eastAsia" w:ascii="Times New Roman" w:hAnsi="Times New Roman" w:cs="Times New Roman"/>
                <w:color w:val="000000"/>
                <w:kern w:val="0"/>
                <w:sz w:val="22"/>
                <w:szCs w:val="22"/>
                <w:lang w:val="en-US" w:eastAsia="zh-CN" w:bidi="ar"/>
              </w:rPr>
              <w:t>.</w:t>
            </w:r>
            <w:r>
              <w:rPr>
                <w:rFonts w:hint="default" w:ascii="Times New Roman" w:hAnsi="Times New Roman" w:cs="Times New Roman"/>
                <w:color w:val="000000"/>
                <w:szCs w:val="21"/>
              </w:rPr>
              <w:t>报警器安装及拆除</w:t>
            </w:r>
          </w:p>
        </w:tc>
        <w:tc>
          <w:tcPr>
            <w:tcW w:w="7054" w:type="dxa"/>
            <w:tcBorders>
              <w:top w:val="single" w:color="000000" w:sz="4" w:space="0"/>
              <w:left w:val="single" w:color="auto" w:sz="4" w:space="0"/>
              <w:bottom w:val="single" w:color="000000" w:sz="4" w:space="0"/>
              <w:right w:val="single" w:color="000000" w:sz="4" w:space="0"/>
            </w:tcBorders>
            <w:noWrap w:val="0"/>
            <w:vAlign w:val="center"/>
          </w:tcPr>
          <w:p>
            <w:pPr>
              <w:autoSpaceDN w:val="0"/>
              <w:jc w:val="left"/>
              <w:textAlignment w:val="center"/>
              <w:rPr>
                <w:rFonts w:hint="default" w:ascii="Times New Roman" w:hAnsi="Times New Roman" w:cs="Times New Roman"/>
                <w:color w:val="000000"/>
                <w:szCs w:val="21"/>
              </w:rPr>
            </w:pPr>
            <w:r>
              <w:rPr>
                <w:rFonts w:hint="default" w:ascii="Times New Roman" w:hAnsi="Times New Roman" w:cs="Times New Roman"/>
                <w:color w:val="000000"/>
                <w:szCs w:val="21"/>
              </w:rPr>
              <w:t>应用户要求改动、拆装及更换报警器产生的安装费用,包括配件、耗材等费用。</w:t>
            </w:r>
          </w:p>
        </w:tc>
      </w:tr>
      <w:tr>
        <w:tblPrEx>
          <w:tblCellMar>
            <w:top w:w="0" w:type="dxa"/>
            <w:left w:w="108" w:type="dxa"/>
            <w:bottom w:w="0" w:type="dxa"/>
            <w:right w:w="108" w:type="dxa"/>
          </w:tblCellMar>
        </w:tblPrEx>
        <w:trPr>
          <w:trHeight w:val="2199" w:hRule="atLeast"/>
          <w:jc w:val="center"/>
        </w:trPr>
        <w:tc>
          <w:tcPr>
            <w:tcW w:w="1587" w:type="dxa"/>
            <w:vMerge w:val="continue"/>
            <w:tcBorders>
              <w:left w:val="single" w:color="auto" w:sz="4" w:space="0"/>
              <w:right w:val="single" w:color="000000" w:sz="4" w:space="0"/>
            </w:tcBorders>
            <w:noWrap w:val="0"/>
            <w:vAlign w:val="center"/>
          </w:tcPr>
          <w:p>
            <w:pPr>
              <w:autoSpaceDN w:val="0"/>
              <w:jc w:val="center"/>
              <w:textAlignment w:val="center"/>
              <w:rPr>
                <w:rFonts w:hint="default" w:ascii="Times New Roman" w:hAnsi="Times New Roman" w:cs="Times New Roman"/>
                <w:color w:val="000000"/>
                <w:szCs w:val="21"/>
              </w:rPr>
            </w:pPr>
          </w:p>
        </w:tc>
        <w:tc>
          <w:tcPr>
            <w:tcW w:w="1497" w:type="dxa"/>
            <w:tcBorders>
              <w:top w:val="single" w:color="000000" w:sz="4" w:space="0"/>
              <w:left w:val="single" w:color="000000" w:sz="4" w:space="0"/>
              <w:bottom w:val="single" w:color="000000" w:sz="4" w:space="0"/>
              <w:right w:val="single" w:color="auto" w:sz="4" w:space="0"/>
            </w:tcBorders>
            <w:noWrap w:val="0"/>
            <w:vAlign w:val="center"/>
          </w:tcPr>
          <w:p>
            <w:pPr>
              <w:widowControl/>
              <w:jc w:val="left"/>
              <w:textAlignment w:val="center"/>
              <w:rPr>
                <w:rFonts w:hint="default" w:ascii="Times New Roman" w:hAnsi="Times New Roman" w:cs="Times New Roman"/>
                <w:szCs w:val="21"/>
              </w:rPr>
            </w:pPr>
            <w:r>
              <w:rPr>
                <w:rFonts w:hint="default" w:ascii="Times New Roman" w:hAnsi="Times New Roman" w:cs="Times New Roman"/>
                <w:kern w:val="0"/>
                <w:sz w:val="22"/>
                <w:szCs w:val="22"/>
                <w:lang w:bidi="ar"/>
              </w:rPr>
              <w:t>7</w:t>
            </w:r>
            <w:r>
              <w:rPr>
                <w:rFonts w:hint="eastAsia" w:ascii="Times New Roman" w:hAnsi="Times New Roman" w:cs="Times New Roman"/>
                <w:kern w:val="0"/>
                <w:sz w:val="22"/>
                <w:szCs w:val="22"/>
                <w:lang w:val="en-US" w:eastAsia="zh-CN" w:bidi="ar"/>
              </w:rPr>
              <w:t>.</w:t>
            </w:r>
            <w:r>
              <w:rPr>
                <w:rFonts w:hint="default" w:ascii="Times New Roman" w:hAnsi="Times New Roman" w:cs="Times New Roman"/>
                <w:kern w:val="0"/>
                <w:sz w:val="22"/>
                <w:szCs w:val="22"/>
                <w:lang w:bidi="ar"/>
              </w:rPr>
              <w:t>表具送检拆装服务费</w:t>
            </w:r>
          </w:p>
        </w:tc>
        <w:tc>
          <w:tcPr>
            <w:tcW w:w="7054" w:type="dxa"/>
            <w:tcBorders>
              <w:top w:val="single" w:color="000000" w:sz="4" w:space="0"/>
              <w:left w:val="single" w:color="auto" w:sz="4" w:space="0"/>
              <w:bottom w:val="single" w:color="000000" w:sz="4" w:space="0"/>
              <w:right w:val="single" w:color="000000" w:sz="4" w:space="0"/>
            </w:tcBorders>
            <w:noWrap w:val="0"/>
            <w:vAlign w:val="center"/>
          </w:tcPr>
          <w:p>
            <w:pPr>
              <w:autoSpaceDN w:val="0"/>
              <w:jc w:val="left"/>
              <w:textAlignment w:val="center"/>
              <w:rPr>
                <w:rFonts w:hint="default" w:ascii="Times New Roman" w:hAnsi="Times New Roman" w:cs="Times New Roman"/>
                <w:szCs w:val="21"/>
              </w:rPr>
            </w:pPr>
            <w:r>
              <w:rPr>
                <w:rFonts w:hint="default" w:ascii="Times New Roman" w:hAnsi="Times New Roman" w:cs="Times New Roman"/>
                <w:szCs w:val="21"/>
              </w:rPr>
              <w:t>根据《广东省燃气管理条例》第二十九条：“用户对燃气计量装置准确度有异议的，可向供气的管道燃气经营企业申请测试，……经复检的燃气计量装置，误差在法定范围内的，测试费用由申请方支付；误差超过法定范围的，测试费用由管道燃气经营企业支付，并由管道燃气经营企业更换合格的燃气计量装置。”当复检误差在法定范围内时，管道燃气经营企业可向用户收取该费用，煤气表、表接头等材料费另计，检测费由用户另行支付；误差超过法定范围时，相关费用由经营企业承担。</w:t>
            </w:r>
          </w:p>
        </w:tc>
      </w:tr>
      <w:tr>
        <w:tblPrEx>
          <w:tblCellMar>
            <w:top w:w="0" w:type="dxa"/>
            <w:left w:w="108" w:type="dxa"/>
            <w:bottom w:w="0" w:type="dxa"/>
            <w:right w:w="108" w:type="dxa"/>
          </w:tblCellMar>
        </w:tblPrEx>
        <w:trPr>
          <w:trHeight w:val="1949" w:hRule="atLeast"/>
          <w:jc w:val="center"/>
        </w:trPr>
        <w:tc>
          <w:tcPr>
            <w:tcW w:w="1587" w:type="dxa"/>
            <w:tcBorders>
              <w:top w:val="single" w:color="auto" w:sz="4" w:space="0"/>
              <w:left w:val="single" w:color="auto" w:sz="4" w:space="0"/>
              <w:bottom w:val="single" w:color="auto" w:sz="4" w:space="0"/>
              <w:right w:val="single" w:color="000000" w:sz="4" w:space="0"/>
            </w:tcBorders>
            <w:noWrap w:val="0"/>
            <w:vAlign w:val="center"/>
          </w:tcPr>
          <w:p>
            <w:pPr>
              <w:autoSpaceDN w:val="0"/>
              <w:jc w:val="center"/>
              <w:textAlignment w:val="center"/>
              <w:rPr>
                <w:rFonts w:hint="default" w:ascii="Times New Roman" w:hAnsi="Times New Roman" w:cs="Times New Roman"/>
                <w:color w:val="000000"/>
                <w:szCs w:val="21"/>
              </w:rPr>
            </w:pPr>
            <w:r>
              <w:rPr>
                <w:rFonts w:hint="default" w:ascii="Times New Roman" w:hAnsi="Times New Roman" w:cs="Times New Roman"/>
                <w:color w:val="000000"/>
                <w:szCs w:val="21"/>
              </w:rPr>
              <w:t>四、工程安装</w:t>
            </w:r>
          </w:p>
        </w:tc>
        <w:tc>
          <w:tcPr>
            <w:tcW w:w="1497" w:type="dxa"/>
            <w:tcBorders>
              <w:top w:val="single" w:color="auto" w:sz="4" w:space="0"/>
              <w:left w:val="single" w:color="000000" w:sz="4" w:space="0"/>
              <w:bottom w:val="single" w:color="auto" w:sz="4" w:space="0"/>
              <w:right w:val="single" w:color="auto" w:sz="4" w:space="0"/>
            </w:tcBorders>
            <w:noWrap w:val="0"/>
            <w:vAlign w:val="center"/>
          </w:tcPr>
          <w:p>
            <w:pPr>
              <w:widowControl/>
              <w:jc w:val="left"/>
              <w:textAlignment w:val="center"/>
              <w:rPr>
                <w:rFonts w:hint="default" w:ascii="Times New Roman" w:hAnsi="Times New Roman" w:cs="Times New Roman"/>
                <w:kern w:val="0"/>
                <w:sz w:val="22"/>
                <w:szCs w:val="22"/>
                <w:lang w:bidi="ar"/>
              </w:rPr>
            </w:pPr>
            <w:r>
              <w:rPr>
                <w:rFonts w:hint="default" w:ascii="Times New Roman" w:hAnsi="Times New Roman" w:cs="Times New Roman"/>
                <w:kern w:val="0"/>
                <w:sz w:val="22"/>
                <w:szCs w:val="22"/>
                <w:lang w:bidi="ar"/>
              </w:rPr>
              <w:t>8</w:t>
            </w:r>
            <w:r>
              <w:rPr>
                <w:rFonts w:hint="eastAsia" w:ascii="Times New Roman" w:hAnsi="Times New Roman" w:cs="Times New Roman"/>
                <w:kern w:val="0"/>
                <w:sz w:val="22"/>
                <w:szCs w:val="22"/>
                <w:lang w:val="en-US" w:eastAsia="zh-CN" w:bidi="ar"/>
              </w:rPr>
              <w:t>.</w:t>
            </w:r>
            <w:r>
              <w:rPr>
                <w:rFonts w:hint="default" w:ascii="Times New Roman" w:hAnsi="Times New Roman" w:cs="Times New Roman"/>
                <w:kern w:val="0"/>
                <w:sz w:val="22"/>
                <w:szCs w:val="22"/>
                <w:lang w:bidi="ar"/>
              </w:rPr>
              <w:t>、</w:t>
            </w:r>
            <w:r>
              <w:rPr>
                <w:rFonts w:hint="default" w:ascii="Times New Roman" w:hAnsi="Times New Roman" w:cs="Times New Roman"/>
                <w:szCs w:val="21"/>
              </w:rPr>
              <w:t>燃气工程安装</w:t>
            </w:r>
          </w:p>
        </w:tc>
        <w:tc>
          <w:tcPr>
            <w:tcW w:w="7054" w:type="dxa"/>
            <w:tcBorders>
              <w:top w:val="single" w:color="000000" w:sz="4" w:space="0"/>
              <w:left w:val="single" w:color="auto" w:sz="4" w:space="0"/>
              <w:bottom w:val="single" w:color="000000" w:sz="4" w:space="0"/>
              <w:right w:val="single" w:color="000000" w:sz="4" w:space="0"/>
            </w:tcBorders>
            <w:noWrap w:val="0"/>
            <w:vAlign w:val="center"/>
          </w:tcPr>
          <w:p>
            <w:pPr>
              <w:autoSpaceDN w:val="0"/>
              <w:jc w:val="left"/>
              <w:textAlignment w:val="center"/>
              <w:rPr>
                <w:rFonts w:hint="default" w:ascii="Times New Roman" w:hAnsi="Times New Roman" w:cs="Times New Roman"/>
                <w:szCs w:val="21"/>
              </w:rPr>
            </w:pPr>
            <w:r>
              <w:rPr>
                <w:rFonts w:hint="default" w:ascii="Times New Roman" w:hAnsi="Times New Roman" w:cs="Times New Roman"/>
                <w:szCs w:val="21"/>
              </w:rPr>
              <w:t>（一）在规范服务项目收费的基础上，鼓励管道燃气经营企业按工程包干收费模式向用户提供服务，工程包含的具体服务项目、收费标准由双方协商确定。</w:t>
            </w:r>
          </w:p>
          <w:p>
            <w:pPr>
              <w:autoSpaceDN w:val="0"/>
              <w:jc w:val="left"/>
              <w:textAlignment w:val="center"/>
              <w:rPr>
                <w:rFonts w:hint="default" w:ascii="Times New Roman" w:hAnsi="Times New Roman" w:cs="Times New Roman"/>
                <w:szCs w:val="21"/>
              </w:rPr>
            </w:pPr>
            <w:r>
              <w:rPr>
                <w:rFonts w:hint="default" w:ascii="Times New Roman" w:hAnsi="Times New Roman" w:cs="Times New Roman"/>
                <w:szCs w:val="21"/>
              </w:rPr>
              <w:t>（二）新建商品房配套建设规划红线范围内的燃气工程安装费用统一纳入商品房开发建设成本，房地产开发企业、燃气企业等不得另外向商品房买受人单独收取。</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UyYmEyMzUzMmFmY2IwY2Q4MmU0NTgyNDA4ODlhNTkifQ=="/>
  </w:docVars>
  <w:rsids>
    <w:rsidRoot w:val="00000000"/>
    <w:rsid w:val="2FB11D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qFormat/>
    <w:uiPriority w:val="0"/>
    <w:pPr>
      <w:keepNext/>
      <w:keepLines/>
      <w:spacing w:before="260" w:beforeLines="0" w:beforeAutospacing="0" w:after="260" w:afterLines="0" w:afterAutospacing="0" w:line="413" w:lineRule="auto"/>
      <w:outlineLvl w:val="2"/>
    </w:pPr>
    <w:rPr>
      <w:b/>
      <w:sz w:val="32"/>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2022-08-25T09:58:31Z</dcterms:created>
  <dc:creator>Administrator</dc:creator>
  <cp:lastModifiedBy>Shen</cp:lastModifiedBy>
  <dcterms:modified xsi:type="dcterms:W3CDTF">2022-08-25T09:58:45Z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FA318BA827C54CADB4A309B0C7FA2554</vt:lpwstr>
  </property>
</Properties>
</file>