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2020年度汕头市工业和信息化局</w:t>
      </w:r>
      <w:r>
        <w:rPr>
          <w:rFonts w:hint="eastAsia" w:ascii="方正小标宋简体" w:hAnsi="方正小标宋简体" w:eastAsia="方正小标宋简体" w:cs="方正小标宋简体"/>
          <w:sz w:val="44"/>
          <w:szCs w:val="44"/>
        </w:rPr>
        <w:br w:type="textWrapping"/>
      </w:r>
      <w:bookmarkStart w:id="13" w:name="_GoBack"/>
      <w:bookmarkEnd w:id="13"/>
      <w:r>
        <w:rPr>
          <w:rFonts w:hint="eastAsia" w:ascii="方正小标宋简体" w:hAnsi="方正小标宋简体" w:eastAsia="方正小标宋简体" w:cs="方正小标宋简体"/>
          <w:sz w:val="44"/>
          <w:szCs w:val="44"/>
        </w:rPr>
        <w:t>部门整体支出绩效评价报告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黑体" w:eastAsia="黑体" w:cs="黑体"/>
          <w:sz w:val="32"/>
          <w:szCs w:val="32"/>
        </w:rPr>
      </w:pPr>
      <w:bookmarkStart w:id="0" w:name="_Toc313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黑体" w:eastAsia="黑体" w:cs="黑体"/>
          <w:sz w:val="32"/>
          <w:szCs w:val="32"/>
        </w:rPr>
      </w:pPr>
      <w:r>
        <w:rPr>
          <w:rFonts w:hint="eastAsia" w:ascii="黑体" w:hAnsi="黑体" w:eastAsia="黑体" w:cs="黑体"/>
          <w:sz w:val="32"/>
          <w:szCs w:val="32"/>
        </w:rPr>
        <w:t>一、评价</w:t>
      </w:r>
      <w:bookmarkEnd w:id="0"/>
      <w:r>
        <w:rPr>
          <w:rFonts w:hint="eastAsia" w:ascii="黑体" w:hAnsi="黑体" w:eastAsia="黑体" w:cs="黑体"/>
          <w:sz w:val="32"/>
          <w:szCs w:val="32"/>
        </w:rPr>
        <w:t>概要</w:t>
      </w:r>
    </w:p>
    <w:p>
      <w:pPr>
        <w:keepNext w:val="0"/>
        <w:keepLines w:val="0"/>
        <w:pageBreakBefore w:val="0"/>
        <w:widowControl w:val="0"/>
        <w:kinsoku/>
        <w:wordWrap/>
        <w:overflowPunct/>
        <w:topLinePunct w:val="0"/>
        <w:autoSpaceDE/>
        <w:autoSpaceDN/>
        <w:bidi w:val="0"/>
        <w:adjustRightInd w:val="0"/>
        <w:snapToGrid w:val="0"/>
        <w:spacing w:line="560" w:lineRule="exact"/>
        <w:ind w:firstLine="569" w:firstLineChars="177"/>
        <w:textAlignment w:val="auto"/>
        <w:outlineLvl w:val="2"/>
        <w:rPr>
          <w:rFonts w:ascii="楷体" w:hAnsi="楷体" w:eastAsia="楷体" w:cs="楷体"/>
          <w:b/>
          <w:bCs/>
          <w:sz w:val="32"/>
          <w:szCs w:val="32"/>
        </w:rPr>
      </w:pPr>
      <w:bookmarkStart w:id="1" w:name="_Toc15625"/>
      <w:r>
        <w:rPr>
          <w:rFonts w:hint="eastAsia" w:ascii="楷体" w:hAnsi="楷体" w:eastAsia="楷体" w:cs="楷体"/>
          <w:b/>
          <w:bCs/>
          <w:sz w:val="32"/>
          <w:szCs w:val="32"/>
        </w:rPr>
        <w:t>（一）</w:t>
      </w:r>
      <w:bookmarkEnd w:id="1"/>
      <w:r>
        <w:rPr>
          <w:rFonts w:hint="eastAsia" w:ascii="楷体" w:hAnsi="楷体" w:eastAsia="楷体" w:cs="楷体"/>
          <w:b/>
          <w:bCs/>
          <w:sz w:val="32"/>
          <w:szCs w:val="32"/>
        </w:rPr>
        <w:t>评价对象</w:t>
      </w:r>
    </w:p>
    <w:p>
      <w:pPr>
        <w:keepNext w:val="0"/>
        <w:keepLines w:val="0"/>
        <w:pageBreakBefore w:val="0"/>
        <w:widowControl w:val="0"/>
        <w:kinsoku/>
        <w:wordWrap/>
        <w:overflowPunct/>
        <w:topLinePunct w:val="0"/>
        <w:autoSpaceDE/>
        <w:autoSpaceDN/>
        <w:bidi w:val="0"/>
        <w:adjustRightInd w:val="0"/>
        <w:snapToGrid w:val="0"/>
        <w:spacing w:line="560" w:lineRule="exact"/>
        <w:ind w:firstLine="566" w:firstLineChars="177"/>
        <w:textAlignment w:val="auto"/>
        <w:outlineLvl w:val="2"/>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汕头市工业和信息化局。</w:t>
      </w:r>
    </w:p>
    <w:p>
      <w:pPr>
        <w:keepNext w:val="0"/>
        <w:keepLines w:val="0"/>
        <w:pageBreakBefore w:val="0"/>
        <w:widowControl w:val="0"/>
        <w:kinsoku/>
        <w:wordWrap/>
        <w:overflowPunct/>
        <w:topLinePunct w:val="0"/>
        <w:autoSpaceDE/>
        <w:autoSpaceDN/>
        <w:bidi w:val="0"/>
        <w:adjustRightInd w:val="0"/>
        <w:snapToGrid w:val="0"/>
        <w:spacing w:line="560" w:lineRule="exact"/>
        <w:ind w:firstLine="569" w:firstLineChars="177"/>
        <w:textAlignment w:val="auto"/>
        <w:outlineLvl w:val="2"/>
        <w:rPr>
          <w:rFonts w:ascii="楷体" w:hAnsi="楷体" w:eastAsia="楷体" w:cs="楷体"/>
          <w:b/>
          <w:bCs/>
          <w:sz w:val="32"/>
          <w:szCs w:val="32"/>
        </w:rPr>
      </w:pPr>
      <w:bookmarkStart w:id="2" w:name="_Hlk87889969"/>
      <w:bookmarkStart w:id="3" w:name="_Toc20610"/>
      <w:r>
        <w:rPr>
          <w:rFonts w:hint="eastAsia" w:ascii="楷体" w:hAnsi="楷体" w:eastAsia="楷体" w:cs="楷体"/>
          <w:b/>
          <w:bCs/>
          <w:sz w:val="32"/>
          <w:szCs w:val="32"/>
        </w:rPr>
        <w:t>（二）评价目的</w:t>
      </w:r>
      <w:bookmarkEnd w:id="2"/>
    </w:p>
    <w:p>
      <w:pPr>
        <w:keepNext w:val="0"/>
        <w:keepLines w:val="0"/>
        <w:pageBreakBefore w:val="0"/>
        <w:widowControl w:val="0"/>
        <w:kinsoku/>
        <w:wordWrap/>
        <w:overflowPunct/>
        <w:topLinePunct w:val="0"/>
        <w:autoSpaceDE/>
        <w:autoSpaceDN/>
        <w:bidi w:val="0"/>
        <w:adjustRightInd w:val="0"/>
        <w:snapToGrid w:val="0"/>
        <w:spacing w:line="560" w:lineRule="exact"/>
        <w:ind w:firstLine="566" w:firstLineChars="177"/>
        <w:textAlignment w:val="auto"/>
        <w:outlineLvl w:val="2"/>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通过开展部门整体支出绩效评价，衡量部门单位履行职责的执行情况和效率效果，增强预算部门单位绩效管理责任主体的意识，促进部门从整体提升预算管理水平，规范资金管理行为，提高财政资金使用绩效，保障部门更好地履行职责。</w:t>
      </w:r>
    </w:p>
    <w:bookmarkEnd w:id="3"/>
    <w:p>
      <w:pPr>
        <w:keepNext w:val="0"/>
        <w:keepLines w:val="0"/>
        <w:pageBreakBefore w:val="0"/>
        <w:widowControl w:val="0"/>
        <w:kinsoku/>
        <w:wordWrap/>
        <w:overflowPunct/>
        <w:topLinePunct w:val="0"/>
        <w:autoSpaceDE/>
        <w:autoSpaceDN/>
        <w:bidi w:val="0"/>
        <w:adjustRightInd w:val="0"/>
        <w:snapToGrid w:val="0"/>
        <w:spacing w:line="560" w:lineRule="exact"/>
        <w:ind w:firstLine="569" w:firstLineChars="177"/>
        <w:textAlignment w:val="auto"/>
        <w:outlineLvl w:val="2"/>
        <w:rPr>
          <w:rFonts w:ascii="楷体" w:hAnsi="楷体" w:eastAsia="楷体" w:cs="楷体"/>
          <w:b/>
          <w:bCs/>
          <w:sz w:val="32"/>
          <w:szCs w:val="32"/>
        </w:rPr>
      </w:pPr>
      <w:bookmarkStart w:id="4" w:name="_Toc15623"/>
      <w:r>
        <w:rPr>
          <w:rFonts w:hint="eastAsia" w:ascii="楷体" w:hAnsi="楷体" w:eastAsia="楷体" w:cs="楷体"/>
          <w:b/>
          <w:bCs/>
          <w:sz w:val="32"/>
          <w:szCs w:val="32"/>
        </w:rPr>
        <w:t>（三）评价原则和方法</w:t>
      </w:r>
      <w:bookmarkEnd w:id="4"/>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本次评价遵循目标导向性原则、科学客观性原则和公平公正性原则，采用比较法、成本效益分析法和公众评判法等评价方法，通过比较绩效目标，综合分析影响绩效目标实现和实施效果的内外因素，再结合公众调查结果，对汕头市工业和信息化局2020年度部门整体支出的前期准备工作、预算编制情况、预算支出管理、部门产出和效果性做出客观、公正的评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黑体" w:eastAsia="黑体" w:cs="黑体"/>
          <w:sz w:val="32"/>
          <w:szCs w:val="32"/>
        </w:rPr>
      </w:pPr>
      <w:bookmarkStart w:id="5" w:name="_Toc31619"/>
      <w:r>
        <w:rPr>
          <w:rFonts w:hint="eastAsia" w:ascii="黑体" w:hAnsi="黑体" w:eastAsia="黑体" w:cs="黑体"/>
          <w:sz w:val="32"/>
          <w:szCs w:val="32"/>
        </w:rPr>
        <w:t>二、评价结论与绩效分析</w:t>
      </w:r>
      <w:bookmarkEnd w:id="5"/>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eastAsia="仿宋_GB2312"/>
          <w:color w:val="000000" w:themeColor="text1"/>
          <w:sz w:val="32"/>
          <w:szCs w:val="32"/>
          <w14:textFill>
            <w14:solidFill>
              <w14:schemeClr w14:val="tx1"/>
            </w14:solidFill>
          </w14:textFill>
        </w:rPr>
        <w:t>通过分析自评材料、项目实施单位提供的相关资料、现场核实和问卷调查等情况，评价小组从前期准备工作、预算编制情况、预算支出管理、部门产出及效果性5个一级指标、</w:t>
      </w:r>
      <w:r>
        <w:rPr>
          <w:rFonts w:eastAsia="仿宋_GB2312"/>
          <w:color w:val="000000" w:themeColor="text1"/>
          <w:sz w:val="32"/>
          <w:szCs w:val="32"/>
          <w14:textFill>
            <w14:solidFill>
              <w14:schemeClr w14:val="tx1"/>
            </w14:solidFill>
          </w14:textFill>
        </w:rPr>
        <w:t>17</w:t>
      </w:r>
      <w:r>
        <w:rPr>
          <w:rFonts w:hint="eastAsia" w:eastAsia="仿宋_GB2312"/>
          <w:color w:val="000000" w:themeColor="text1"/>
          <w:sz w:val="32"/>
          <w:szCs w:val="32"/>
          <w14:textFill>
            <w14:solidFill>
              <w14:schemeClr w14:val="tx1"/>
            </w14:solidFill>
          </w14:textFill>
        </w:rPr>
        <w:t>个二级指标、</w:t>
      </w:r>
      <w:r>
        <w:rPr>
          <w:rFonts w:eastAsia="仿宋_GB2312"/>
          <w:color w:val="000000" w:themeColor="text1"/>
          <w:sz w:val="32"/>
          <w:szCs w:val="32"/>
          <w14:textFill>
            <w14:solidFill>
              <w14:schemeClr w14:val="tx1"/>
            </w14:solidFill>
          </w14:textFill>
        </w:rPr>
        <w:t>38</w:t>
      </w:r>
      <w:r>
        <w:rPr>
          <w:rFonts w:hint="eastAsia" w:eastAsia="仿宋_GB2312"/>
          <w:color w:val="000000" w:themeColor="text1"/>
          <w:sz w:val="32"/>
          <w:szCs w:val="32"/>
          <w14:textFill>
            <w14:solidFill>
              <w14:schemeClr w14:val="tx1"/>
            </w14:solidFill>
          </w14:textFill>
        </w:rPr>
        <w:t>个三级指标对项目进行综合评价，得分为8</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.3</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分，绩效等级为“良”。</w:t>
      </w:r>
    </w:p>
    <w:p>
      <w:pPr>
        <w:jc w:val="center"/>
        <w:rPr>
          <w:rFonts w:ascii="黑体" w:hAnsi="黑体" w:eastAsia="黑体" w:cs="黑体"/>
          <w:sz w:val="28"/>
          <w:szCs w:val="28"/>
        </w:rPr>
      </w:pPr>
      <w:r>
        <w:rPr>
          <w:rFonts w:hint="eastAsia" w:ascii="黑体" w:hAnsi="黑体" w:eastAsia="黑体" w:cs="黑体"/>
          <w:sz w:val="28"/>
          <w:szCs w:val="28"/>
        </w:rPr>
        <w:t>表2-1 评价情况总表</w:t>
      </w:r>
    </w:p>
    <w:tbl>
      <w:tblPr>
        <w:tblStyle w:val="7"/>
        <w:tblW w:w="8336" w:type="dxa"/>
        <w:tblInd w:w="0" w:type="dxa"/>
        <w:tblLayout w:type="fixed"/>
        <w:tblCellMar>
          <w:top w:w="0" w:type="dxa"/>
          <w:left w:w="0" w:type="dxa"/>
          <w:bottom w:w="0" w:type="dxa"/>
          <w:right w:w="0" w:type="dxa"/>
        </w:tblCellMar>
      </w:tblPr>
      <w:tblGrid>
        <w:gridCol w:w="2084"/>
        <w:gridCol w:w="2084"/>
        <w:gridCol w:w="2084"/>
        <w:gridCol w:w="2084"/>
      </w:tblGrid>
      <w:tr>
        <w:tblPrEx>
          <w:tblCellMar>
            <w:top w:w="0" w:type="dxa"/>
            <w:left w:w="0" w:type="dxa"/>
            <w:bottom w:w="0" w:type="dxa"/>
            <w:right w:w="0" w:type="dxa"/>
          </w:tblCellMar>
        </w:tblPrEx>
        <w:trPr>
          <w:trHeight w:val="567" w:hRule="atLeast"/>
        </w:trPr>
        <w:tc>
          <w:tcPr>
            <w:tcW w:w="208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5" w:type="dxa"/>
              <w:left w:w="15" w:type="dxa"/>
              <w:right w:w="15" w:type="dxa"/>
            </w:tcMar>
            <w:vAlign w:val="center"/>
          </w:tcPr>
          <w:p>
            <w:pPr>
              <w:jc w:val="center"/>
              <w:rPr>
                <w:rFonts w:eastAsia="仿宋_GB2312"/>
                <w:b/>
                <w:bCs/>
                <w:sz w:val="24"/>
              </w:rPr>
            </w:pPr>
            <w:r>
              <w:rPr>
                <w:rFonts w:hint="eastAsia" w:eastAsia="仿宋_GB2312"/>
                <w:b/>
                <w:bCs/>
                <w:sz w:val="24"/>
              </w:rPr>
              <w:t>一级指标</w:t>
            </w:r>
          </w:p>
        </w:tc>
        <w:tc>
          <w:tcPr>
            <w:tcW w:w="208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5" w:type="dxa"/>
              <w:left w:w="15" w:type="dxa"/>
              <w:right w:w="15" w:type="dxa"/>
            </w:tcMar>
            <w:vAlign w:val="center"/>
          </w:tcPr>
          <w:p>
            <w:pPr>
              <w:jc w:val="center"/>
              <w:rPr>
                <w:rFonts w:eastAsia="仿宋_GB2312"/>
                <w:b/>
                <w:bCs/>
                <w:sz w:val="24"/>
              </w:rPr>
            </w:pPr>
            <w:r>
              <w:rPr>
                <w:rFonts w:hint="eastAsia" w:eastAsia="仿宋_GB2312"/>
                <w:b/>
                <w:bCs/>
                <w:sz w:val="24"/>
              </w:rPr>
              <w:t>指标分值</w:t>
            </w:r>
          </w:p>
        </w:tc>
        <w:tc>
          <w:tcPr>
            <w:tcW w:w="208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5" w:type="dxa"/>
              <w:left w:w="15" w:type="dxa"/>
              <w:right w:w="15" w:type="dxa"/>
            </w:tcMar>
            <w:vAlign w:val="center"/>
          </w:tcPr>
          <w:p>
            <w:pPr>
              <w:jc w:val="center"/>
              <w:rPr>
                <w:rFonts w:eastAsia="仿宋_GB2312"/>
                <w:b/>
                <w:bCs/>
                <w:sz w:val="24"/>
              </w:rPr>
            </w:pPr>
            <w:r>
              <w:rPr>
                <w:rFonts w:hint="eastAsia" w:eastAsia="仿宋_GB2312"/>
                <w:b/>
                <w:bCs/>
                <w:sz w:val="24"/>
              </w:rPr>
              <w:t>评价得分</w:t>
            </w:r>
          </w:p>
        </w:tc>
        <w:tc>
          <w:tcPr>
            <w:tcW w:w="208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Mar>
              <w:top w:w="15" w:type="dxa"/>
              <w:left w:w="15" w:type="dxa"/>
              <w:right w:w="15" w:type="dxa"/>
            </w:tcMar>
            <w:vAlign w:val="center"/>
          </w:tcPr>
          <w:p>
            <w:pPr>
              <w:jc w:val="center"/>
              <w:rPr>
                <w:rFonts w:eastAsia="仿宋_GB2312"/>
                <w:b/>
                <w:bCs/>
                <w:sz w:val="24"/>
              </w:rPr>
            </w:pPr>
            <w:r>
              <w:rPr>
                <w:rFonts w:hint="eastAsia" w:eastAsia="仿宋_GB2312"/>
                <w:b/>
                <w:bCs/>
                <w:sz w:val="24"/>
              </w:rPr>
              <w:t>得分率</w:t>
            </w:r>
          </w:p>
        </w:tc>
      </w:tr>
      <w:tr>
        <w:tblPrEx>
          <w:tblCellMar>
            <w:top w:w="0" w:type="dxa"/>
            <w:left w:w="0" w:type="dxa"/>
            <w:bottom w:w="0" w:type="dxa"/>
            <w:right w:w="0" w:type="dxa"/>
          </w:tblCellMar>
        </w:tblPrEx>
        <w:trPr>
          <w:trHeight w:val="567"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前期准备工作</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6</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w:t>
            </w:r>
            <w:r>
              <w:rPr>
                <w:rFonts w:eastAsia="仿宋_GB2312"/>
                <w:color w:val="000000" w:themeColor="text1"/>
                <w:sz w:val="24"/>
                <w14:textFill>
                  <w14:solidFill>
                    <w14:schemeClr w14:val="tx1"/>
                  </w14:solidFill>
                </w14:textFill>
              </w:rPr>
              <w:t>.75</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6</w:t>
            </w:r>
            <w:r>
              <w:rPr>
                <w:rFonts w:eastAsia="仿宋_GB2312"/>
                <w:color w:val="000000" w:themeColor="text1"/>
                <w:sz w:val="24"/>
                <w14:textFill>
                  <w14:solidFill>
                    <w14:schemeClr w14:val="tx1"/>
                  </w14:solidFill>
                </w14:textFill>
              </w:rPr>
              <w:t>2.5</w:t>
            </w:r>
            <w:r>
              <w:rPr>
                <w:rFonts w:hint="eastAsia" w:eastAsia="仿宋_GB2312"/>
                <w:color w:val="000000" w:themeColor="text1"/>
                <w:sz w:val="24"/>
                <w14:textFill>
                  <w14:solidFill>
                    <w14:schemeClr w14:val="tx1"/>
                  </w14:solidFill>
                </w14:textFill>
              </w:rPr>
              <w:t>%</w:t>
            </w:r>
          </w:p>
        </w:tc>
      </w:tr>
      <w:tr>
        <w:tblPrEx>
          <w:tblCellMar>
            <w:top w:w="0" w:type="dxa"/>
            <w:left w:w="0" w:type="dxa"/>
            <w:bottom w:w="0" w:type="dxa"/>
            <w:right w:w="0" w:type="dxa"/>
          </w:tblCellMar>
        </w:tblPrEx>
        <w:trPr>
          <w:trHeight w:val="567"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预算编制情况</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r>
              <w:rPr>
                <w:rFonts w:eastAsia="仿宋_GB2312"/>
                <w:color w:val="000000" w:themeColor="text1"/>
                <w:sz w:val="24"/>
                <w14:textFill>
                  <w14:solidFill>
                    <w14:schemeClr w14:val="tx1"/>
                  </w14:solidFill>
                </w14:textFill>
              </w:rPr>
              <w:t>0</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5</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5</w:t>
            </w:r>
            <w:r>
              <w:rPr>
                <w:rFonts w:eastAsia="仿宋_GB2312"/>
                <w:color w:val="000000" w:themeColor="text1"/>
                <w:sz w:val="24"/>
                <w14:textFill>
                  <w14:solidFill>
                    <w14:schemeClr w14:val="tx1"/>
                  </w14:solidFill>
                </w14:textFill>
              </w:rPr>
              <w:t>0</w:t>
            </w:r>
            <w:r>
              <w:rPr>
                <w:rFonts w:hint="eastAsia" w:eastAsia="仿宋_GB2312"/>
                <w:color w:val="000000" w:themeColor="text1"/>
                <w:sz w:val="24"/>
                <w14:textFill>
                  <w14:solidFill>
                    <w14:schemeClr w14:val="tx1"/>
                  </w14:solidFill>
                </w14:textFill>
              </w:rPr>
              <w:t>%</w:t>
            </w:r>
          </w:p>
        </w:tc>
      </w:tr>
      <w:tr>
        <w:tblPrEx>
          <w:tblCellMar>
            <w:top w:w="0" w:type="dxa"/>
            <w:left w:w="0" w:type="dxa"/>
            <w:bottom w:w="0" w:type="dxa"/>
            <w:right w:w="0" w:type="dxa"/>
          </w:tblCellMar>
        </w:tblPrEx>
        <w:trPr>
          <w:trHeight w:val="567"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预算支出管理</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w:t>
            </w:r>
            <w:r>
              <w:rPr>
                <w:rFonts w:eastAsia="仿宋_GB2312"/>
                <w:color w:val="000000" w:themeColor="text1"/>
                <w:sz w:val="24"/>
                <w14:textFill>
                  <w14:solidFill>
                    <w14:schemeClr w14:val="tx1"/>
                  </w14:solidFill>
                </w14:textFill>
              </w:rPr>
              <w:t>9</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w:t>
            </w:r>
            <w:r>
              <w:rPr>
                <w:rFonts w:eastAsia="仿宋_GB2312"/>
                <w:color w:val="000000" w:themeColor="text1"/>
                <w:sz w:val="24"/>
                <w14:textFill>
                  <w14:solidFill>
                    <w14:schemeClr w14:val="tx1"/>
                  </w14:solidFill>
                </w14:textFill>
              </w:rPr>
              <w:t>4.24</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8</w:t>
            </w:r>
            <w:r>
              <w:rPr>
                <w:rFonts w:eastAsia="仿宋_GB2312"/>
                <w:color w:val="000000" w:themeColor="text1"/>
                <w:sz w:val="24"/>
                <w14:textFill>
                  <w14:solidFill>
                    <w14:schemeClr w14:val="tx1"/>
                  </w14:solidFill>
                </w14:textFill>
              </w:rPr>
              <w:t>7</w:t>
            </w:r>
            <w:r>
              <w:rPr>
                <w:rFonts w:hint="eastAsia" w:eastAsia="仿宋_GB2312"/>
                <w:color w:val="000000" w:themeColor="text1"/>
                <w:sz w:val="24"/>
                <w14:textFill>
                  <w14:solidFill>
                    <w14:schemeClr w14:val="tx1"/>
                  </w14:solidFill>
                </w14:textFill>
              </w:rPr>
              <w:t>.7</w:t>
            </w:r>
            <w:r>
              <w:rPr>
                <w:rFonts w:eastAsia="仿宋_GB2312"/>
                <w:color w:val="000000" w:themeColor="text1"/>
                <w:sz w:val="24"/>
                <w14:textFill>
                  <w14:solidFill>
                    <w14:schemeClr w14:val="tx1"/>
                  </w14:solidFill>
                </w14:textFill>
              </w:rPr>
              <w:t>9</w:t>
            </w:r>
            <w:r>
              <w:rPr>
                <w:rFonts w:hint="eastAsia" w:eastAsia="仿宋_GB2312"/>
                <w:color w:val="000000" w:themeColor="text1"/>
                <w:sz w:val="24"/>
                <w14:textFill>
                  <w14:solidFill>
                    <w14:schemeClr w14:val="tx1"/>
                  </w14:solidFill>
                </w14:textFill>
              </w:rPr>
              <w:t>%</w:t>
            </w:r>
          </w:p>
        </w:tc>
      </w:tr>
      <w:tr>
        <w:tblPrEx>
          <w:tblCellMar>
            <w:top w:w="0" w:type="dxa"/>
            <w:left w:w="0" w:type="dxa"/>
            <w:bottom w:w="0" w:type="dxa"/>
            <w:right w:w="0" w:type="dxa"/>
          </w:tblCellMar>
        </w:tblPrEx>
        <w:trPr>
          <w:trHeight w:val="567"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部门产出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3</w:t>
            </w:r>
            <w:r>
              <w:rPr>
                <w:rFonts w:eastAsia="仿宋_GB2312"/>
                <w:color w:val="000000" w:themeColor="text1"/>
                <w:sz w:val="24"/>
                <w14:textFill>
                  <w14:solidFill>
                    <w14:schemeClr w14:val="tx1"/>
                  </w14:solidFill>
                </w14:textFill>
              </w:rPr>
              <w:t>0</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2</w:t>
            </w:r>
            <w:r>
              <w:rPr>
                <w:rFonts w:eastAsia="仿宋_GB2312"/>
                <w:color w:val="000000" w:themeColor="text1"/>
                <w:sz w:val="24"/>
                <w14:textFill>
                  <w14:solidFill>
                    <w14:schemeClr w14:val="tx1"/>
                  </w14:solidFill>
                </w14:textFill>
              </w:rPr>
              <w:t>8</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9</w:t>
            </w:r>
            <w:r>
              <w:rPr>
                <w:rFonts w:eastAsia="仿宋_GB2312"/>
                <w:color w:val="000000" w:themeColor="text1"/>
                <w:sz w:val="24"/>
                <w14:textFill>
                  <w14:solidFill>
                    <w14:schemeClr w14:val="tx1"/>
                  </w14:solidFill>
                </w14:textFill>
              </w:rPr>
              <w:t>3.33%</w:t>
            </w:r>
          </w:p>
        </w:tc>
      </w:tr>
      <w:tr>
        <w:tblPrEx>
          <w:tblCellMar>
            <w:top w:w="0" w:type="dxa"/>
            <w:left w:w="0" w:type="dxa"/>
            <w:bottom w:w="0" w:type="dxa"/>
            <w:right w:w="0" w:type="dxa"/>
          </w:tblCellMar>
        </w:tblPrEx>
        <w:trPr>
          <w:trHeight w:val="567"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效果性</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r>
              <w:rPr>
                <w:rFonts w:eastAsia="仿宋_GB2312"/>
                <w:color w:val="000000" w:themeColor="text1"/>
                <w:sz w:val="24"/>
                <w14:textFill>
                  <w14:solidFill>
                    <w14:schemeClr w14:val="tx1"/>
                  </w14:solidFill>
                </w14:textFill>
              </w:rPr>
              <w:t>5</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1</w:t>
            </w:r>
            <w:r>
              <w:rPr>
                <w:rFonts w:eastAsia="仿宋_GB2312"/>
                <w:color w:val="000000" w:themeColor="text1"/>
                <w:sz w:val="24"/>
                <w14:textFill>
                  <w14:solidFill>
                    <w14:schemeClr w14:val="tx1"/>
                  </w14:solidFill>
                </w14:textFill>
              </w:rPr>
              <w:t>2.34</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8</w:t>
            </w:r>
            <w:r>
              <w:rPr>
                <w:rFonts w:eastAsia="仿宋_GB2312"/>
                <w:color w:val="000000" w:themeColor="text1"/>
                <w:sz w:val="24"/>
                <w14:textFill>
                  <w14:solidFill>
                    <w14:schemeClr w14:val="tx1"/>
                  </w14:solidFill>
                </w14:textFill>
              </w:rPr>
              <w:t>2.27%</w:t>
            </w:r>
          </w:p>
        </w:tc>
      </w:tr>
      <w:tr>
        <w:tblPrEx>
          <w:tblCellMar>
            <w:top w:w="0" w:type="dxa"/>
            <w:left w:w="0" w:type="dxa"/>
            <w:bottom w:w="0" w:type="dxa"/>
            <w:right w:w="0" w:type="dxa"/>
          </w:tblCellMar>
        </w:tblPrEx>
        <w:trPr>
          <w:trHeight w:val="567"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评价总得分</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100</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8</w:t>
            </w:r>
            <w:r>
              <w:rPr>
                <w:rFonts w:eastAsia="仿宋_GB2312"/>
                <w:b/>
                <w:bCs/>
                <w:color w:val="000000" w:themeColor="text1"/>
                <w:sz w:val="24"/>
                <w14:textFill>
                  <w14:solidFill>
                    <w14:schemeClr w14:val="tx1"/>
                  </w14:solidFill>
                </w14:textFill>
              </w:rPr>
              <w:t>3</w:t>
            </w:r>
            <w:r>
              <w:rPr>
                <w:rFonts w:hint="eastAsia" w:eastAsia="仿宋_GB2312"/>
                <w:b/>
                <w:bCs/>
                <w:color w:val="000000" w:themeColor="text1"/>
                <w:sz w:val="24"/>
                <w14:textFill>
                  <w14:solidFill>
                    <w14:schemeClr w14:val="tx1"/>
                  </w14:solidFill>
                </w14:textFill>
              </w:rPr>
              <w:t>.3</w:t>
            </w:r>
            <w:r>
              <w:rPr>
                <w:rFonts w:eastAsia="仿宋_GB2312"/>
                <w:b/>
                <w:bCs/>
                <w:color w:val="000000" w:themeColor="text1"/>
                <w:sz w:val="24"/>
                <w14:textFill>
                  <w14:solidFill>
                    <w14:schemeClr w14:val="tx1"/>
                  </w14:solidFill>
                </w14:textFill>
              </w:rPr>
              <w:t>3</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仿宋_GB2312"/>
                <w:b/>
                <w:bCs/>
                <w:color w:val="000000" w:themeColor="text1"/>
                <w:sz w:val="24"/>
                <w14:textFill>
                  <w14:solidFill>
                    <w14:schemeClr w14:val="tx1"/>
                  </w14:solidFill>
                </w14:textFill>
              </w:rPr>
            </w:pPr>
            <w:r>
              <w:rPr>
                <w:rFonts w:hint="eastAsia" w:eastAsia="仿宋_GB2312"/>
                <w:b/>
                <w:bCs/>
                <w:color w:val="000000" w:themeColor="text1"/>
                <w:sz w:val="24"/>
                <w14:textFill>
                  <w14:solidFill>
                    <w14:schemeClr w14:val="tx1"/>
                  </w14:solidFill>
                </w14:textFill>
              </w:rPr>
              <w:t>8</w:t>
            </w:r>
            <w:r>
              <w:rPr>
                <w:rFonts w:eastAsia="仿宋_GB2312"/>
                <w:b/>
                <w:bCs/>
                <w:color w:val="000000" w:themeColor="text1"/>
                <w:sz w:val="24"/>
                <w14:textFill>
                  <w14:solidFill>
                    <w14:schemeClr w14:val="tx1"/>
                  </w14:solidFill>
                </w14:textFill>
              </w:rPr>
              <w:t>3</w:t>
            </w:r>
            <w:r>
              <w:rPr>
                <w:rFonts w:hint="eastAsia" w:eastAsia="仿宋_GB2312"/>
                <w:b/>
                <w:bCs/>
                <w:color w:val="000000" w:themeColor="text1"/>
                <w:sz w:val="24"/>
                <w14:textFill>
                  <w14:solidFill>
                    <w14:schemeClr w14:val="tx1"/>
                  </w14:solidFill>
                </w14:textFill>
              </w:rPr>
              <w:t>.3</w:t>
            </w:r>
            <w:r>
              <w:rPr>
                <w:rFonts w:eastAsia="仿宋_GB2312"/>
                <w:b/>
                <w:bCs/>
                <w:color w:val="000000" w:themeColor="text1"/>
                <w:sz w:val="24"/>
                <w14:textFill>
                  <w14:solidFill>
                    <w14:schemeClr w14:val="tx1"/>
                  </w14:solidFill>
                </w14:textFill>
              </w:rPr>
              <w:t>3</w:t>
            </w:r>
            <w:r>
              <w:rPr>
                <w:rFonts w:hint="eastAsia" w:eastAsia="仿宋_GB2312"/>
                <w:b/>
                <w:bCs/>
                <w:color w:val="000000" w:themeColor="text1"/>
                <w:sz w:val="24"/>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黑体" w:eastAsia="黑体" w:cs="黑体"/>
          <w:sz w:val="32"/>
          <w:szCs w:val="32"/>
        </w:rPr>
      </w:pPr>
      <w:bookmarkStart w:id="6" w:name="_Toc524334581"/>
      <w:bookmarkStart w:id="7" w:name="_Toc522873134"/>
      <w:bookmarkStart w:id="8" w:name="_Toc31649_WPSOffice_Level2"/>
      <w:bookmarkStart w:id="9" w:name="_Toc14747"/>
      <w:bookmarkStart w:id="10" w:name="_Toc524096886"/>
      <w:r>
        <w:rPr>
          <w:rFonts w:hint="eastAsia" w:ascii="黑体" w:hAnsi="黑体" w:eastAsia="黑体" w:cs="黑体"/>
          <w:sz w:val="32"/>
          <w:szCs w:val="32"/>
        </w:rPr>
        <w:t>三、主要绩效</w:t>
      </w:r>
      <w:bookmarkEnd w:id="6"/>
      <w:bookmarkEnd w:id="7"/>
      <w:bookmarkEnd w:id="8"/>
      <w:bookmarkEnd w:id="9"/>
      <w:bookmarkEnd w:id="10"/>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汕头市工信和信息化局的主要绩效表现体现在以下</w:t>
      </w: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个方面：</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楷体" w:hAnsi="楷体" w:eastAsia="楷体"/>
          <w:b/>
          <w:bCs/>
          <w:color w:val="000000" w:themeColor="text1"/>
          <w:kern w:val="2"/>
          <w:sz w:val="32"/>
          <w:szCs w:val="32"/>
          <w14:textFill>
            <w14:solidFill>
              <w14:schemeClr w14:val="tx1"/>
            </w14:solidFill>
          </w14:textFill>
        </w:rPr>
      </w:pPr>
      <w:r>
        <w:rPr>
          <w:rFonts w:hint="eastAsia" w:ascii="楷体" w:hAnsi="楷体" w:eastAsia="楷体"/>
          <w:b/>
          <w:bCs/>
          <w:color w:val="000000" w:themeColor="text1"/>
          <w:kern w:val="2"/>
          <w:sz w:val="32"/>
          <w:szCs w:val="32"/>
          <w14:textFill>
            <w14:solidFill>
              <w14:schemeClr w14:val="tx1"/>
            </w14:solidFill>
          </w14:textFill>
        </w:rPr>
        <w:t>（一）落实疫情防控措施，支持企业复工复产</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一是贯彻落实市政府《关于印发应对新冠肺炎疫情支持企业复工复产的若干措施的通知》（汕府办【2020】4号）精神，对全市规模以上工业企业1471家的2020年2-4月份工业用电给予20%的补助，合计补助金额10,342.92万元，有效降低企业经营成本。二是保障防控物资生产企业复工率，汕头市13家公共卫生应急物资定点生产企业及123家省疫情防控重点保障物资生产企业，于2020年3月底全部实现复工复产，复工率达100%，扭转全市防控物资严重紧缺的被动局面，全市口罩、防护服、医用隔离眼罩、消毒液日产能达600万个、5000套、50万个、320吨，完成省医用口罩调拨任务近1000万个。</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楷体" w:hAnsi="楷体" w:eastAsia="楷体"/>
          <w:b/>
          <w:bCs/>
          <w:color w:val="000000" w:themeColor="text1"/>
          <w:kern w:val="2"/>
          <w:sz w:val="32"/>
          <w:szCs w:val="32"/>
          <w14:textFill>
            <w14:solidFill>
              <w14:schemeClr w14:val="tx1"/>
            </w14:solidFill>
          </w14:textFill>
        </w:rPr>
      </w:pPr>
      <w:r>
        <w:rPr>
          <w:rFonts w:hint="eastAsia" w:ascii="楷体" w:hAnsi="楷体" w:eastAsia="楷体"/>
          <w:b/>
          <w:bCs/>
          <w:color w:val="000000" w:themeColor="text1"/>
          <w:kern w:val="2"/>
          <w:sz w:val="32"/>
          <w:szCs w:val="32"/>
          <w14:textFill>
            <w14:solidFill>
              <w14:schemeClr w14:val="tx1"/>
            </w14:solidFill>
          </w14:textFill>
        </w:rPr>
        <w:t>（二）加快产业转型升级，工业发展质量有效提升</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一是有效引导企业开展技术改造。先后出台《工业转型升级攻坚战三年行动计划实施意见》《新一轮工业企业技术改造实施意见》等政策措施，优先支持“零用地”项目建设，累计争取各级财政资金8.52亿元，扶持技改项目519个。二是突出创新驱动发展。完成第一期20家轻工装备企业“政产研·智助强企”工程，加快推进粤东首个省制造创新中心建设，开展玩具、服装、化工等三大传统产业数字化转型试点。累计列入国家级智能制造试点示范项目企业1家、省级10家，累计国家级企业技术中心2家、省级63家。制订实施小微企业创业创新基地城市示范三年行动计划，累计获“国家技术创新示范企业”3家，认定省级示范基地19家、省级示范平台9家。连续三年制造业发展获省级评估“优秀等级”。三是大力推进绿色发展。开展“散乱污”专项整治，累计排查35869个场所，发现7639处，完成整治7633处，整治完成率99.9%。与市环保局联合推动开展两批合计279家企业依法开展清洁生产审核工作。贵屿循环经济园区等6个园区列入省级循环经济试点园区。光华科技、拉芳家化获国家绿色工厂。</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楷体" w:hAnsi="楷体" w:eastAsia="楷体"/>
          <w:b/>
          <w:bCs/>
          <w:color w:val="000000" w:themeColor="text1"/>
          <w:kern w:val="2"/>
          <w:sz w:val="32"/>
          <w:szCs w:val="32"/>
          <w14:textFill>
            <w14:solidFill>
              <w14:schemeClr w14:val="tx1"/>
            </w14:solidFill>
          </w14:textFill>
        </w:rPr>
      </w:pPr>
      <w:r>
        <w:rPr>
          <w:rFonts w:hint="eastAsia" w:ascii="楷体" w:hAnsi="楷体" w:eastAsia="楷体"/>
          <w:b/>
          <w:bCs/>
          <w:color w:val="000000" w:themeColor="text1"/>
          <w:kern w:val="2"/>
          <w:sz w:val="32"/>
          <w:szCs w:val="32"/>
          <w14:textFill>
            <w14:solidFill>
              <w14:schemeClr w14:val="tx1"/>
            </w14:solidFill>
          </w14:textFill>
        </w:rPr>
        <w:t>（三）园区扩能增效，产业集聚集约加快发展</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一是积极谋划产业发展空间。协同谋划总面积164.2平方公里的8大重点产业片区，制订印发工业产业空间和功能组团指引手册。二是推进集聚集约发展。出台实施《标准厂房建设和使用促进办法》，兑现第一批市级标准厂房扶持资金。加快推进省5G产业园建设，三是狠抓项目招引落地。坚持“一把手”招商，充分利用潮商、华侨、民营三个优势，以园区及8大产业片区为平台，强化深汕协作，中海信、比亚迪、上海电气、华为、立讯精密、南瑞鲁能、青岛武晓、华芯智造等一批大企业、大项目相继落户汕头，有效带动产业集聚发展。</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楷体" w:hAnsi="楷体" w:eastAsia="楷体"/>
          <w:b/>
          <w:bCs/>
          <w:color w:val="000000" w:themeColor="text1"/>
          <w:kern w:val="2"/>
          <w:sz w:val="32"/>
          <w:szCs w:val="32"/>
          <w14:textFill>
            <w14:solidFill>
              <w14:schemeClr w14:val="tx1"/>
            </w14:solidFill>
          </w14:textFill>
        </w:rPr>
      </w:pPr>
      <w:r>
        <w:rPr>
          <w:rFonts w:hint="eastAsia" w:ascii="楷体" w:hAnsi="楷体" w:eastAsia="楷体"/>
          <w:b/>
          <w:bCs/>
          <w:color w:val="000000" w:themeColor="text1"/>
          <w:kern w:val="2"/>
          <w:sz w:val="32"/>
          <w:szCs w:val="32"/>
          <w14:textFill>
            <w14:solidFill>
              <w14:schemeClr w14:val="tx1"/>
            </w14:solidFill>
          </w14:textFill>
        </w:rPr>
        <w:t>（四）加快信息基础设施建设</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出台实施《新一轮信息基础设施建设三年行动计划》《加快5G产业发展行动计划》等，截至2020年底，累计建成开通5G基站4000座。全市光纤入户率从2016年的61.8%提升至2020年的117.2%。入选首批“全国电信普遍服务试点城市”，获广东省超高清（4K）电视网络应用试点城市。</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楷体" w:hAnsi="楷体" w:eastAsia="楷体"/>
          <w:b/>
          <w:bCs/>
          <w:color w:val="000000" w:themeColor="text1"/>
          <w:kern w:val="2"/>
          <w:sz w:val="32"/>
          <w:szCs w:val="32"/>
          <w14:textFill>
            <w14:solidFill>
              <w14:schemeClr w14:val="tx1"/>
            </w14:solidFill>
          </w14:textFill>
        </w:rPr>
      </w:pPr>
      <w:r>
        <w:rPr>
          <w:rFonts w:hint="eastAsia" w:ascii="楷体" w:hAnsi="楷体" w:eastAsia="楷体"/>
          <w:b/>
          <w:bCs/>
          <w:color w:val="000000" w:themeColor="text1"/>
          <w:kern w:val="2"/>
          <w:sz w:val="32"/>
          <w:szCs w:val="32"/>
          <w14:textFill>
            <w14:solidFill>
              <w14:schemeClr w14:val="tx1"/>
            </w14:solidFill>
          </w14:textFill>
        </w:rPr>
        <w:t>（五）培育设计创意产业</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成功举办三届“市长杯”工业设计大赛，2项作品进入2020年中国优秀工业设计奖终评答辩（全省5项）。推进深汕工业设计作品互展交流，两地工业设计协会签订合作协议，联合注册深圳-汕头时尚与科技研究院，推进深圳“设计+”赋能汕头传统产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黑体" w:eastAsia="黑体" w:cs="黑体"/>
          <w:sz w:val="32"/>
          <w:szCs w:val="32"/>
        </w:rPr>
      </w:pPr>
      <w:bookmarkStart w:id="11" w:name="_Toc26794"/>
      <w:r>
        <w:rPr>
          <w:rFonts w:hint="eastAsia" w:ascii="黑体" w:hAnsi="黑体" w:eastAsia="黑体" w:cs="黑体"/>
          <w:sz w:val="32"/>
          <w:szCs w:val="32"/>
        </w:rPr>
        <w:t>四、存在问题</w:t>
      </w:r>
      <w:bookmarkEnd w:id="11"/>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评价发现，部门还存在一些不足的方面。主要体现在：</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楷体" w:hAnsi="楷体" w:eastAsia="楷体"/>
          <w:b/>
          <w:bCs/>
          <w:color w:val="000000" w:themeColor="text1"/>
          <w:kern w:val="2"/>
          <w:sz w:val="32"/>
          <w:szCs w:val="32"/>
          <w14:textFill>
            <w14:solidFill>
              <w14:schemeClr w14:val="tx1"/>
            </w14:solidFill>
          </w14:textFill>
        </w:rPr>
      </w:pPr>
      <w:r>
        <w:rPr>
          <w:rFonts w:hint="eastAsia" w:ascii="楷体" w:hAnsi="楷体" w:eastAsia="楷体"/>
          <w:b/>
          <w:bCs/>
          <w:color w:val="000000" w:themeColor="text1"/>
          <w:kern w:val="2"/>
          <w:sz w:val="32"/>
          <w:szCs w:val="32"/>
          <w14:textFill>
            <w14:solidFill>
              <w14:schemeClr w14:val="tx1"/>
            </w14:solidFill>
          </w14:textFill>
        </w:rPr>
        <w:t>（一）增强绩效管理观念，提高绩效管理水平</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1、自评材料未及时报送。市工信局未按《汕头市财政局关于开展2021年市级财政资金绩效自评工作的通知》（汕市财法【2021】5号）规定，2021年6月30日前完成自评工作，并由市级业务主管部门汇总材料后报送市财政局对口业务科室。</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2、自评材料质量有待提高。自评数据表未细化阶段性绩效目标，自评报告分析不够深入，未能精准反映部门项目绩效目标完成情况。</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楷体" w:hAnsi="楷体" w:eastAsia="楷体"/>
          <w:b/>
          <w:bCs/>
          <w:color w:val="000000" w:themeColor="text1"/>
          <w:kern w:val="2"/>
          <w:sz w:val="32"/>
          <w:szCs w:val="32"/>
          <w14:textFill>
            <w14:solidFill>
              <w14:schemeClr w14:val="tx1"/>
            </w14:solidFill>
          </w14:textFill>
        </w:rPr>
      </w:pPr>
      <w:r>
        <w:rPr>
          <w:rFonts w:hint="eastAsia" w:ascii="楷体" w:hAnsi="楷体" w:eastAsia="楷体"/>
          <w:b/>
          <w:bCs/>
          <w:color w:val="000000" w:themeColor="text1"/>
          <w:kern w:val="2"/>
          <w:sz w:val="32"/>
          <w:szCs w:val="32"/>
          <w14:textFill>
            <w14:solidFill>
              <w14:schemeClr w14:val="tx1"/>
            </w14:solidFill>
          </w14:textFill>
        </w:rPr>
        <w:t>（二）部门项目预算编制合理性及规范性有待提高</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部门在编制年初预算时，对项目预算未进行充分调研，导致实际支出与预算差异较大，如促进经济高质量发展专项资金（民营经济及中小微企业发展）1000万元未使用，2020年科技创新战略专项（市人才发展专项）预算905万元，实际支出72.45万元，与预算差异较大。</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楷体" w:hAnsi="楷体" w:eastAsia="楷体"/>
          <w:b/>
          <w:bCs/>
          <w:color w:val="000000" w:themeColor="text1"/>
          <w:kern w:val="2"/>
          <w:sz w:val="32"/>
          <w:szCs w:val="32"/>
          <w14:textFill>
            <w14:solidFill>
              <w14:schemeClr w14:val="tx1"/>
            </w14:solidFill>
          </w14:textFill>
        </w:rPr>
      </w:pPr>
      <w:r>
        <w:rPr>
          <w:rFonts w:hint="eastAsia" w:ascii="楷体" w:hAnsi="楷体" w:eastAsia="楷体"/>
          <w:b/>
          <w:bCs/>
          <w:color w:val="000000" w:themeColor="text1"/>
          <w:kern w:val="2"/>
          <w:sz w:val="32"/>
          <w:szCs w:val="32"/>
          <w14:textFill>
            <w14:solidFill>
              <w14:schemeClr w14:val="tx1"/>
            </w14:solidFill>
          </w14:textFill>
        </w:rPr>
        <w:t>（三）部分项目绩效目标设置不规范</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经核查，2020年项目资金支出中，“第六届潮创大会、第三届潮创大赛项目”、“科技创新战略专项（市人才发展专项）”、“政产研-智助强企项目”以及年中新增“规模以上工业企业工业用电电费给予20%的市级专项补助项目（省级奖金）”未设置绩效目标和分解细化各项绩效指标，没有充分发挥绩效目标的导向作用，不利于考核评价。不符合《汕头市市级财政专项资金管理办法（试行）》（汕府〔2019〕114号）第十三条“市业务主管部门细化编制专项资金预算时，对保留市级审批项目的，要细化选取具体项目和明确绩效目标”，以及第九条“市业务主管部门在编制专项资金目录清单时同步编制各项专项资金“政策任务”的绩效目标。</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楷体" w:hAnsi="楷体" w:eastAsia="楷体"/>
          <w:b/>
          <w:bCs/>
          <w:color w:val="000000" w:themeColor="text1"/>
          <w:kern w:val="2"/>
          <w:sz w:val="32"/>
          <w:szCs w:val="32"/>
          <w14:textFill>
            <w14:solidFill>
              <w14:schemeClr w14:val="tx1"/>
            </w14:solidFill>
          </w14:textFill>
        </w:rPr>
      </w:pPr>
      <w:r>
        <w:rPr>
          <w:rFonts w:hint="eastAsia" w:ascii="楷体" w:hAnsi="楷体" w:eastAsia="楷体"/>
          <w:b/>
          <w:bCs/>
          <w:color w:val="000000" w:themeColor="text1"/>
          <w:kern w:val="2"/>
          <w:sz w:val="32"/>
          <w:szCs w:val="32"/>
          <w14:textFill>
            <w14:solidFill>
              <w14:schemeClr w14:val="tx1"/>
            </w14:solidFill>
          </w14:textFill>
        </w:rPr>
        <w:t>（四）部分资产管理不规范</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未能按《汕头市经济和信息化局固定资产管理制度》规定定期开展固定资产盘点，且无线电管理科存在部分报废固定资产未能及时走报废程序，导致固定资产利用率低下。</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楷体" w:hAnsi="楷体" w:eastAsia="楷体"/>
          <w:b/>
          <w:bCs/>
          <w:color w:val="000000" w:themeColor="text1"/>
          <w:kern w:val="2"/>
          <w:sz w:val="32"/>
          <w:szCs w:val="32"/>
          <w14:textFill>
            <w14:solidFill>
              <w14:schemeClr w14:val="tx1"/>
            </w14:solidFill>
          </w14:textFill>
        </w:rPr>
      </w:pPr>
      <w:r>
        <w:rPr>
          <w:rFonts w:hint="eastAsia" w:ascii="楷体" w:hAnsi="楷体" w:eastAsia="楷体"/>
          <w:b/>
          <w:bCs/>
          <w:color w:val="000000" w:themeColor="text1"/>
          <w:kern w:val="2"/>
          <w:sz w:val="32"/>
          <w:szCs w:val="32"/>
          <w14:textFill>
            <w14:solidFill>
              <w14:schemeClr w14:val="tx1"/>
            </w14:solidFill>
          </w14:textFill>
        </w:rPr>
        <w:t>（五）资金管理有待加强</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1、资金使用效率较低。存在存量资金及多个项目资金被财政清理收回，包括促进经济高质量发展专项资金（民营经济及中小微企业发展）1000万元、科技创新战略专项（市人才发展专项）办公楼修缮经费832.55万元、办公楼修缮经费248万元、打好污染防治攻坚</w:t>
      </w:r>
      <w:r>
        <w:rPr>
          <w:rFonts w:hint="eastAsia" w:eastAsia="仿宋_GB2312"/>
          <w:color w:val="000000" w:themeColor="text1"/>
          <w:kern w:val="2"/>
          <w:sz w:val="32"/>
          <w:szCs w:val="32"/>
          <w:lang w:eastAsia="zh-CN"/>
          <w14:textFill>
            <w14:solidFill>
              <w14:schemeClr w14:val="tx1"/>
            </w14:solidFill>
          </w14:textFill>
        </w:rPr>
        <w:t>战</w:t>
      </w:r>
      <w:r>
        <w:rPr>
          <w:rFonts w:hint="eastAsia" w:eastAsia="仿宋_GB2312"/>
          <w:color w:val="000000" w:themeColor="text1"/>
          <w:kern w:val="2"/>
          <w:sz w:val="32"/>
          <w:szCs w:val="32"/>
          <w14:textFill>
            <w14:solidFill>
              <w14:schemeClr w14:val="tx1"/>
            </w14:solidFill>
          </w14:textFill>
        </w:rPr>
        <w:t>专项资金（绿色循环发展与节能降耗）100万元等。</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2、资金使用不规范。专项资金“工信事业运转经费（含创新驱动）”支付了包括慰问金4.72万元超出项目经费使用范围。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ascii="黑体" w:hAnsi="黑体" w:eastAsia="黑体" w:cs="黑体"/>
          <w:sz w:val="32"/>
          <w:szCs w:val="32"/>
        </w:rPr>
      </w:pPr>
      <w:bookmarkStart w:id="12" w:name="_Toc22270"/>
      <w:r>
        <w:rPr>
          <w:rFonts w:hint="eastAsia" w:ascii="黑体" w:hAnsi="黑体" w:eastAsia="黑体" w:cs="黑体"/>
          <w:sz w:val="32"/>
          <w:szCs w:val="32"/>
        </w:rPr>
        <w:t>五、意见建议</w:t>
      </w:r>
      <w:bookmarkEnd w:id="12"/>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为进一步提高财政资金使用效益，加强财政支出管理，针对本次评价中发现的问题，提出以下建议：</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楷体" w:hAnsi="楷体" w:eastAsia="楷体"/>
          <w:b/>
          <w:bCs/>
          <w:color w:val="000000" w:themeColor="text1"/>
          <w:kern w:val="2"/>
          <w:sz w:val="32"/>
          <w:szCs w:val="32"/>
          <w14:textFill>
            <w14:solidFill>
              <w14:schemeClr w14:val="tx1"/>
            </w14:solidFill>
          </w14:textFill>
        </w:rPr>
      </w:pPr>
      <w:r>
        <w:rPr>
          <w:rFonts w:hint="eastAsia" w:ascii="楷体" w:hAnsi="楷体" w:eastAsia="楷体"/>
          <w:b/>
          <w:bCs/>
          <w:color w:val="000000" w:themeColor="text1"/>
          <w:kern w:val="2"/>
          <w:sz w:val="32"/>
          <w:szCs w:val="32"/>
          <w14:textFill>
            <w14:solidFill>
              <w14:schemeClr w14:val="tx1"/>
            </w14:solidFill>
          </w14:textFill>
        </w:rPr>
        <w:t>（一）增强绩效管理观念，提高绩效管理水平</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开展部门单位整体支出绩效是贯彻落实党的十九大关于“全面实施绩效管理”的重大部署和《中共中央国务院关于全面实施预算绩效管理的意见》的一项重要工作内容，全面实施预算绩效管理是政府治理方式的深刻变革。单位部门要树立正确的绩效观，突出绩效导向，落实主体责任，通过全方位、全过程、全覆盖实施预算绩效管理，实现预算和绩效管理一体化，着力提高财政资源配置效率和使用效益。因此，建议单位应该重视绩效管理工作，提高绩效管理意识，加强绩效管理相关培训，聘请专家对绩效评价体系进行解读和指导，促进绩效评价工作走向规范化、标准化、高效化。</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楷体" w:hAnsi="楷体" w:eastAsia="楷体"/>
          <w:b/>
          <w:bCs/>
          <w:color w:val="000000" w:themeColor="text1"/>
          <w:kern w:val="2"/>
          <w:sz w:val="32"/>
          <w:szCs w:val="32"/>
          <w14:textFill>
            <w14:solidFill>
              <w14:schemeClr w14:val="tx1"/>
            </w14:solidFill>
          </w14:textFill>
        </w:rPr>
      </w:pPr>
      <w:r>
        <w:rPr>
          <w:rFonts w:hint="eastAsia" w:ascii="楷体" w:hAnsi="楷体" w:eastAsia="楷体"/>
          <w:b/>
          <w:bCs/>
          <w:color w:val="000000" w:themeColor="text1"/>
          <w:kern w:val="2"/>
          <w:sz w:val="32"/>
          <w:szCs w:val="32"/>
          <w14:textFill>
            <w14:solidFill>
              <w14:schemeClr w14:val="tx1"/>
            </w14:solidFill>
          </w14:textFill>
        </w:rPr>
        <w:t>（二）加强项目预算编制合理性，提高预算编制精准度。</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在编制年度预算时，项目支出预算应结合工作实际，充分进行前期论证工作，提高重视程度，增强各科室对项目预算编制工作的责任感，对项目预算时，应采取先入库、后预算、再拨付的方式，提高资金预算与使用的效率，避免出现财政资金闲置。</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楷体" w:hAnsi="楷体" w:eastAsia="楷体"/>
          <w:b/>
          <w:bCs/>
          <w:color w:val="000000" w:themeColor="text1"/>
          <w:kern w:val="2"/>
          <w:sz w:val="32"/>
          <w:szCs w:val="32"/>
          <w14:textFill>
            <w14:solidFill>
              <w14:schemeClr w14:val="tx1"/>
            </w14:solidFill>
          </w14:textFill>
        </w:rPr>
      </w:pPr>
      <w:r>
        <w:rPr>
          <w:rFonts w:hint="eastAsia" w:ascii="楷体" w:hAnsi="楷体" w:eastAsia="楷体"/>
          <w:b/>
          <w:bCs/>
          <w:color w:val="000000" w:themeColor="text1"/>
          <w:kern w:val="2"/>
          <w:sz w:val="32"/>
          <w:szCs w:val="32"/>
          <w14:textFill>
            <w14:solidFill>
              <w14:schemeClr w14:val="tx1"/>
            </w14:solidFill>
          </w14:textFill>
        </w:rPr>
        <w:t>（三）科学设置绩效目标，发挥绩效目标导向作用</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1、建议进行绩效目标及绩效指标匹配性评审。在项目入库时，组织专家对项目政策实施预期效果与项目申报的绩效目标及绩效指标匹配性进行验证与评审，确保绩效目标能发挥其导向性及可评性。</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2、加强绩效目标监控。对于纳入年度预算内项目及已纳入项目库项目发生重大调整或项目未能按计划实施的，应对应调整项目绩效目标及指标值，必要时更正年度绩效目标，且应按规定程序取得财政部门批复。</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3、加强绩效培训学习。对部门绩效目标申报的规范性及有效性开展组织培训及学习，使单位各业务科室及评价工作人员准确把握考核要点及提升绩效指标设置的规范性，不断提高部门预算绩效管理水平。</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楷体" w:hAnsi="楷体" w:eastAsia="楷体"/>
          <w:b/>
          <w:bCs/>
          <w:color w:val="000000" w:themeColor="text1"/>
          <w:kern w:val="2"/>
          <w:sz w:val="32"/>
          <w:szCs w:val="32"/>
          <w14:textFill>
            <w14:solidFill>
              <w14:schemeClr w14:val="tx1"/>
            </w14:solidFill>
          </w14:textFill>
        </w:rPr>
      </w:pPr>
      <w:r>
        <w:rPr>
          <w:rFonts w:hint="eastAsia" w:ascii="楷体" w:hAnsi="楷体" w:eastAsia="楷体"/>
          <w:b/>
          <w:bCs/>
          <w:color w:val="000000" w:themeColor="text1"/>
          <w:kern w:val="2"/>
          <w:sz w:val="32"/>
          <w:szCs w:val="32"/>
          <w14:textFill>
            <w14:solidFill>
              <w14:schemeClr w14:val="tx1"/>
            </w14:solidFill>
          </w14:textFill>
        </w:rPr>
        <w:t>（四）严格执行资产管理制度，提高资产使用效率</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1、落实固定资产清查盘点程序。严格执行单位《汕头市经济和信息化局固定资产管理制度》，在单位年度财务决算前，组织单位相关人员对固定资产进行一次全面的清查盘点，并将清查盘点结果与资产实物管理部门及财务部门核实。</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2、建议每年在清查盘点后结果形成分析报告。重点关注已符合报废条件的资产及闲置资产，对于符合报废条件的资产应汇总上报，将资产报废工作列入工作计划，并按《广东省行政事业单位国有资产处置管理暂行办法》等相关规定实行分类审批，报废报损。对于闲置资产，也应上会讨论并分类管理，且考虑对下年资产采购计划的影响，提高国有资产使用效率。</w:t>
      </w:r>
    </w:p>
    <w:p>
      <w:pPr>
        <w:pStyle w:val="2"/>
        <w:keepNext w:val="0"/>
        <w:keepLines w:val="0"/>
        <w:pageBreakBefore w:val="0"/>
        <w:widowControl w:val="0"/>
        <w:kinsoku/>
        <w:wordWrap/>
        <w:overflowPunct/>
        <w:topLinePunct w:val="0"/>
        <w:autoSpaceDE/>
        <w:autoSpaceDN/>
        <w:bidi w:val="0"/>
        <w:spacing w:beforeLines="0" w:afterLines="0" w:line="560" w:lineRule="exact"/>
        <w:ind w:firstLine="643"/>
        <w:textAlignment w:val="auto"/>
        <w:rPr>
          <w:rFonts w:hint="eastAsia" w:ascii="楷体" w:hAnsi="楷体" w:eastAsia="楷体"/>
          <w:b/>
          <w:bCs/>
          <w:color w:val="000000" w:themeColor="text1"/>
          <w:kern w:val="2"/>
          <w:sz w:val="32"/>
          <w:szCs w:val="32"/>
          <w14:textFill>
            <w14:solidFill>
              <w14:schemeClr w14:val="tx1"/>
            </w14:solidFill>
          </w14:textFill>
        </w:rPr>
      </w:pPr>
      <w:r>
        <w:rPr>
          <w:rFonts w:hint="eastAsia" w:ascii="楷体" w:hAnsi="楷体" w:eastAsia="楷体"/>
          <w:b/>
          <w:bCs/>
          <w:color w:val="000000" w:themeColor="text1"/>
          <w:kern w:val="2"/>
          <w:sz w:val="32"/>
          <w:szCs w:val="32"/>
          <w14:textFill>
            <w14:solidFill>
              <w14:schemeClr w14:val="tx1"/>
            </w14:solidFill>
          </w14:textFill>
        </w:rPr>
        <w:t>（五）加强资金管理，提高资金使用效率</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1、加快资金拨付进度，提高资金到位率。对已具备支付条件的支付事项，应及时按程序提出支付申请，尽快将款项拨付用款单位；对确因客观原因预计无法落实的项目单位的结余资金，应尽早研究提出方案，调整资金用途。</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2、坚持以问题为导向，提高资金使用效率。排查支出进度慢的项目清单，将资金支出任务按指标分解到具体科室，并针对每一项资金支出指标落实到具体责任人，提高资金使用效率。</w:t>
      </w:r>
    </w:p>
    <w:p>
      <w:pPr>
        <w:pStyle w:val="2"/>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eastAsia"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3、加强资金支出合规性审核，确保项目资金专款专用。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1B"/>
    <w:rsid w:val="000662A3"/>
    <w:rsid w:val="002F2937"/>
    <w:rsid w:val="002F60B3"/>
    <w:rsid w:val="005050E7"/>
    <w:rsid w:val="00571582"/>
    <w:rsid w:val="005A0D9F"/>
    <w:rsid w:val="005B5BEE"/>
    <w:rsid w:val="00631F8C"/>
    <w:rsid w:val="00670B38"/>
    <w:rsid w:val="006C5934"/>
    <w:rsid w:val="006E0681"/>
    <w:rsid w:val="007E6D42"/>
    <w:rsid w:val="007F71E0"/>
    <w:rsid w:val="00804A4E"/>
    <w:rsid w:val="00851F45"/>
    <w:rsid w:val="008521C1"/>
    <w:rsid w:val="009A2D97"/>
    <w:rsid w:val="009F4B1B"/>
    <w:rsid w:val="00A56C5B"/>
    <w:rsid w:val="00C130BD"/>
    <w:rsid w:val="00C1428D"/>
    <w:rsid w:val="00CB06E9"/>
    <w:rsid w:val="00D927D2"/>
    <w:rsid w:val="00DD5D1A"/>
    <w:rsid w:val="00EA4B0B"/>
    <w:rsid w:val="00F77FDC"/>
    <w:rsid w:val="00FA274D"/>
    <w:rsid w:val="059137F0"/>
    <w:rsid w:val="0A91003C"/>
    <w:rsid w:val="0B11547D"/>
    <w:rsid w:val="0FE9157E"/>
    <w:rsid w:val="1903163A"/>
    <w:rsid w:val="192E0C5A"/>
    <w:rsid w:val="19666B28"/>
    <w:rsid w:val="19EF57BD"/>
    <w:rsid w:val="20114EF6"/>
    <w:rsid w:val="25DA1780"/>
    <w:rsid w:val="28231D9E"/>
    <w:rsid w:val="295F044E"/>
    <w:rsid w:val="2BF20F38"/>
    <w:rsid w:val="2FD46579"/>
    <w:rsid w:val="30FE211D"/>
    <w:rsid w:val="33763CC5"/>
    <w:rsid w:val="33860BA2"/>
    <w:rsid w:val="3496047E"/>
    <w:rsid w:val="35735D54"/>
    <w:rsid w:val="357B699B"/>
    <w:rsid w:val="36172B92"/>
    <w:rsid w:val="37B06D76"/>
    <w:rsid w:val="42E7241E"/>
    <w:rsid w:val="42E81F74"/>
    <w:rsid w:val="4D0B19BE"/>
    <w:rsid w:val="5C490DEC"/>
    <w:rsid w:val="5E3529DE"/>
    <w:rsid w:val="6273382A"/>
    <w:rsid w:val="652301E4"/>
    <w:rsid w:val="652839EC"/>
    <w:rsid w:val="65C87DA5"/>
    <w:rsid w:val="6C16352C"/>
    <w:rsid w:val="6CEA7983"/>
    <w:rsid w:val="6EE10500"/>
    <w:rsid w:val="70704B49"/>
    <w:rsid w:val="74710120"/>
    <w:rsid w:val="74EA36CC"/>
    <w:rsid w:val="797F1195"/>
    <w:rsid w:val="7B4F5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spacing w:beforeLines="50" w:afterLines="50" w:line="360" w:lineRule="auto"/>
      <w:ind w:firstLine="480" w:firstLineChars="200"/>
    </w:pPr>
    <w:rPr>
      <w:kern w:val="0"/>
      <w:sz w:val="24"/>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footnote reference"/>
    <w:basedOn w:val="8"/>
    <w:qFormat/>
    <w:uiPriority w:val="0"/>
    <w:rPr>
      <w:vertAlign w:val="superscript"/>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642</Words>
  <Characters>3662</Characters>
  <Lines>30</Lines>
  <Paragraphs>8</Paragraphs>
  <TotalTime>110</TotalTime>
  <ScaleCrop>false</ScaleCrop>
  <LinksUpToDate>false</LinksUpToDate>
  <CharactersWithSpaces>4296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2020-08-04T07:29:00Z</dcterms:created>
  <dc:creator>Administrator</dc:creator>
  <cp:lastModifiedBy>STCZL</cp:lastModifiedBy>
  <cp:lastPrinted>2020-08-06T07:01:00Z</cp:lastPrinted>
  <dcterms:modified xsi:type="dcterms:W3CDTF">2022-07-05T07:21:46Z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95CC1010575B49E8B998661E1F61A6D5</vt:lpwstr>
  </property>
</Properties>
</file>