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0"/>
        <w:ind w:left="128" w:leftChars="40"/>
        <w:rPr>
          <w:rFonts w:ascii="方正小标宋简体" w:eastAsia="方正小标宋简体"/>
          <w:color w:val="FF0000"/>
          <w:spacing w:val="40"/>
          <w:sz w:val="70"/>
          <w:szCs w:val="70"/>
        </w:rPr>
      </w:pPr>
      <w:r>
        <w:rPr>
          <w:rFonts w:hint="eastAsia" w:ascii="方正小标宋简体" w:eastAsia="方正小标宋简体"/>
          <w:color w:val="FF0000"/>
          <w:spacing w:val="40"/>
          <w:sz w:val="70"/>
          <w:szCs w:val="70"/>
        </w:rPr>
        <w:t>广东省住房和城乡建设</w:t>
      </w:r>
      <w:r>
        <w:rPr>
          <w:rFonts w:hint="eastAsia" w:ascii="方正小标宋简体" w:eastAsia="方正小标宋简体"/>
          <w:color w:val="FF0000"/>
          <w:spacing w:val="52"/>
          <w:sz w:val="70"/>
          <w:szCs w:val="70"/>
        </w:rPr>
        <w:t>厅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264795</wp:posOffset>
                </wp:positionV>
                <wp:extent cx="6195060" cy="0"/>
                <wp:effectExtent l="0" t="19050" r="5334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5077" cy="0"/>
                        </a:xfrm>
                        <a:prstGeom prst="line">
                          <a:avLst/>
                        </a:prstGeom>
                        <a:noFill/>
                        <a:ln w="47625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3.3pt;margin-top:20.85pt;height:0pt;width:487.8pt;z-index:251659264;mso-width-relative:page;mso-height-relative:page;" filled="f" stroked="t" coordsize="21600,21600" o:gfxdata="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S1E6TWAAAACQEAAA8AAAAAAAAAAQAgAAAAIgAAAGRycy9kb3ducmV2LnhtbFBLAQIUABQA&#10;AAAIAIdO4kBu6vxO8gEAALwDAAAOAAAAAAAAAAEAIAAAACUBAABkcnMvZTJvRG9jLnhtbFBLBQYA&#10;AAAABgAGAFkBAACJBQAAAAA=&#10;">
                <v:fill on="f" focussize="0,0"/>
                <v:stroke weight="3.7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outlineLvl w:val="9"/>
        <w:rPr>
          <w:rFonts w:hint="eastAsia" w:ascii="仿宋_GB2312" w:hAnsi="仿宋_GB2312" w:eastAsia="仿宋_GB2312" w:cs="Times New Roman"/>
          <w:sz w:val="32"/>
        </w:rPr>
      </w:pPr>
      <w:bookmarkStart w:id="0" w:name="F_FWWH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0" w:firstLineChars="0"/>
        <w:jc w:val="center"/>
        <w:textAlignment w:val="auto"/>
        <w:outlineLvl w:val="9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  <w:r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  <w:t>广东省住房和城乡建设厅关于征集2023年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0" w:firstLineChars="0"/>
        <w:jc w:val="center"/>
        <w:textAlignment w:val="auto"/>
        <w:outlineLvl w:val="9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  <w:r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  <w:t>绿色循环发展与节能降耗专项资金项目的通知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0" w:firstLineChars="0"/>
        <w:jc w:val="center"/>
        <w:textAlignment w:val="auto"/>
        <w:outlineLvl w:val="9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各地级以上市住房城乡建设主管部门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-SA"/>
        </w:rPr>
        <w:t>，各有关单位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根据《广东省省级财政资金项目库管理办法（试行）》（粤财预〔2018〕263号）、《广东省财政厅关于做好202</w:t>
      </w:r>
      <w:r>
        <w:rPr>
          <w:rFonts w:ascii="仿宋_GB2312" w:hAnsi="仿宋_GB2312" w:eastAsia="仿宋_GB2312" w:cs="仿宋_GB2312"/>
          <w:sz w:val="32"/>
          <w:szCs w:val="32"/>
          <w:lang w:bidi="ar-SA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年省级财政资金项目入库储备和培训工作的通知》等有关规定，为做好202</w:t>
      </w:r>
      <w:r>
        <w:rPr>
          <w:rFonts w:ascii="仿宋_GB2312" w:hAnsi="仿宋_GB2312" w:eastAsia="仿宋_GB2312" w:cs="仿宋_GB2312"/>
          <w:sz w:val="32"/>
          <w:szCs w:val="32"/>
          <w:lang w:bidi="ar-SA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年省级建筑节能专项资金预算编制和项目入库储备工作，现向你们征集绿色循环发展与节能降耗相关项目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-SA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请认真填写《202</w:t>
      </w:r>
      <w:r>
        <w:rPr>
          <w:rFonts w:ascii="仿宋_GB2312" w:hAnsi="仿宋_GB2312" w:eastAsia="仿宋_GB2312" w:cs="仿宋_GB2312"/>
          <w:sz w:val="32"/>
          <w:szCs w:val="32"/>
          <w:lang w:bidi="ar-SA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年省级建筑节能专项资金预算储备项目意向表》（详见附件），于202</w:t>
      </w:r>
      <w:r>
        <w:rPr>
          <w:rFonts w:ascii="仿宋_GB2312" w:hAnsi="仿宋_GB2312" w:eastAsia="仿宋_GB2312" w:cs="仿宋_GB2312"/>
          <w:sz w:val="32"/>
          <w:szCs w:val="32"/>
          <w:lang w:bidi="ar-SA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年</w:t>
      </w:r>
      <w:r>
        <w:rPr>
          <w:rFonts w:ascii="仿宋_GB2312" w:hAnsi="仿宋_GB2312" w:eastAsia="仿宋_GB2312" w:cs="仿宋_GB2312"/>
          <w:sz w:val="32"/>
          <w:szCs w:val="32"/>
          <w:lang w:bidi="ar-SA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月1</w:t>
      </w:r>
      <w:r>
        <w:rPr>
          <w:rFonts w:ascii="仿宋_GB2312" w:hAnsi="仿宋_GB2312" w:eastAsia="仿宋_GB2312" w:cs="仿宋_GB2312"/>
          <w:sz w:val="32"/>
          <w:szCs w:val="32"/>
          <w:lang w:bidi="ar-SA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日前将签章版和可编辑电子版意向表反馈我厅科技信息处（粤政易：桂旭鹏）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-SA"/>
        </w:rPr>
        <w:t>。请各地市积极谋划储备有关项目，配合我厅于7月25日前通过“数字政府”公共财政综合管理平台录入储备项目，7月底前未录入项目的，2023年将无法安排相关项目资金预算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_GB2312" w:hAnsi="仿宋_GB2312" w:eastAsia="仿宋_GB2312" w:cs="仿宋_GB2312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附件：202</w:t>
      </w:r>
      <w:r>
        <w:rPr>
          <w:rFonts w:ascii="仿宋_GB2312" w:hAnsi="仿宋_GB2312" w:eastAsia="仿宋_GB2312" w:cs="仿宋_GB2312"/>
          <w:sz w:val="32"/>
          <w:szCs w:val="32"/>
          <w:lang w:bidi="ar-SA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年省级建筑节能专项资金预算储备项目意向表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 w:bidi="ar-SA"/>
        </w:rPr>
        <w:t xml:space="preserve">广东省住房和城乡建设厅    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 w:bidi="ar-SA"/>
        </w:rPr>
        <w:t xml:space="preserve">                          2022年6月22日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（联系人：周锦科、林梓枫，联系电话：8313370</w:t>
      </w:r>
      <w:r>
        <w:rPr>
          <w:rFonts w:ascii="仿宋_GB2312" w:hAnsi="仿宋_GB2312" w:eastAsia="仿宋_GB2312" w:cs="仿宋_GB2312"/>
          <w:sz w:val="32"/>
          <w:szCs w:val="32"/>
          <w:lang w:bidi="ar-SA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、8313</w:t>
      </w:r>
      <w:r>
        <w:rPr>
          <w:rFonts w:ascii="仿宋_GB2312" w:hAnsi="仿宋_GB2312" w:eastAsia="仿宋_GB2312" w:cs="仿宋_GB2312"/>
          <w:sz w:val="32"/>
          <w:szCs w:val="32"/>
          <w:lang w:bidi="ar-SA"/>
        </w:rPr>
        <w:t>370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 xml:space="preserve">6，邮箱：zjt_kxc@gd.gov.cn）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_GB2312" w:hAnsi="仿宋_GB2312" w:eastAsia="仿宋_GB2312" w:cs="仿宋_GB2312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eastAsia="仿宋_GB2312" w:asciiTheme="minorHAnsi" w:hAnsiTheme="minorHAnsi" w:cstheme="minorBidi"/>
          <w:sz w:val="32"/>
          <w:szCs w:val="24"/>
          <w:lang w:bidi="ar-SA"/>
        </w:rPr>
      </w:pPr>
      <w:r>
        <w:rPr>
          <w:rFonts w:hint="eastAsia" w:ascii="黑体" w:hAnsi="黑体" w:eastAsia="黑体" w:cs="黑体"/>
          <w:sz w:val="32"/>
          <w:szCs w:val="32"/>
          <w:lang w:bidi="ar-SA"/>
        </w:rPr>
        <w:t>公开方式：</w:t>
      </w:r>
      <w:r>
        <w:rPr>
          <w:rFonts w:hint="eastAsia" w:ascii="黑体" w:hAnsi="黑体" w:eastAsia="黑体" w:cs="黑体"/>
          <w:sz w:val="32"/>
          <w:szCs w:val="32"/>
          <w:lang w:eastAsia="zh-CN" w:bidi="ar-SA"/>
        </w:rPr>
        <w:t>主动</w:t>
      </w:r>
      <w:r>
        <w:rPr>
          <w:rFonts w:hint="eastAsia" w:ascii="黑体" w:hAnsi="黑体" w:eastAsia="黑体" w:cs="黑体"/>
          <w:sz w:val="32"/>
          <w:szCs w:val="32"/>
          <w:lang w:bidi="ar-SA"/>
        </w:rPr>
        <w:t>公开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</w:pPr>
    </w:p>
    <w:p>
      <w:pPr>
        <w:spacing w:line="620" w:lineRule="exact"/>
        <w:ind w:left="1118" w:leftChars="87" w:hanging="840" w:hangingChars="300"/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抄送：广东省建筑科学研究院集团股份有限公司；广东省城乡规划设计研究院有限责任公司；广东省建筑设计研究院有限公司；广东省建筑节能协会；广东省建设工程绿色与装配式发展协会；广东省预拌混凝土行业协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会。</w:t>
      </w:r>
    </w:p>
    <w:sectPr>
      <w:footerReference r:id="rId5" w:type="default"/>
      <w:pgSz w:w="11906" w:h="16838"/>
      <w:pgMar w:top="1644" w:right="1474" w:bottom="1418" w:left="1588" w:header="851" w:footer="992" w:gutter="0"/>
      <w:pgNumType w:fmt="numberInDash" w:start="1"/>
      <w:cols w:space="0" w:num="1"/>
      <w:docGrid w:type="lines" w:linePitch="31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Theme="minorEastAsia" w:hAnsiTheme="minorEastAsia" w:eastAsiaTheme="minorEastAsia"/>
        <w:sz w:val="28"/>
        <w:szCs w:val="28"/>
      </w:rPr>
    </w:pPr>
  </w:p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0451BC"/>
    <w:rsid w:val="001233C5"/>
    <w:rsid w:val="00267307"/>
    <w:rsid w:val="00351FDA"/>
    <w:rsid w:val="004234DA"/>
    <w:rsid w:val="00492B6F"/>
    <w:rsid w:val="00687EC0"/>
    <w:rsid w:val="007B39B6"/>
    <w:rsid w:val="009C6006"/>
    <w:rsid w:val="009F7851"/>
    <w:rsid w:val="00A7592D"/>
    <w:rsid w:val="00C10495"/>
    <w:rsid w:val="00C9504C"/>
    <w:rsid w:val="00FC5F9F"/>
    <w:rsid w:val="06831821"/>
    <w:rsid w:val="072059DD"/>
    <w:rsid w:val="08187561"/>
    <w:rsid w:val="086F490D"/>
    <w:rsid w:val="0D6D37BD"/>
    <w:rsid w:val="10096ED9"/>
    <w:rsid w:val="154A675C"/>
    <w:rsid w:val="18E33AF7"/>
    <w:rsid w:val="1FD562BA"/>
    <w:rsid w:val="232A49A5"/>
    <w:rsid w:val="272200E8"/>
    <w:rsid w:val="2AF464A5"/>
    <w:rsid w:val="2E46035B"/>
    <w:rsid w:val="33E31D8B"/>
    <w:rsid w:val="34642697"/>
    <w:rsid w:val="364D3F88"/>
    <w:rsid w:val="37F2186F"/>
    <w:rsid w:val="3D050B77"/>
    <w:rsid w:val="3FA65476"/>
    <w:rsid w:val="494A3BF2"/>
    <w:rsid w:val="49767635"/>
    <w:rsid w:val="4ACD3044"/>
    <w:rsid w:val="4CBD4971"/>
    <w:rsid w:val="4E0451BC"/>
    <w:rsid w:val="4EB05003"/>
    <w:rsid w:val="4F302401"/>
    <w:rsid w:val="50565456"/>
    <w:rsid w:val="5E1625CE"/>
    <w:rsid w:val="5E2E5564"/>
    <w:rsid w:val="5EF315AC"/>
    <w:rsid w:val="5FAB62E8"/>
    <w:rsid w:val="600D3694"/>
    <w:rsid w:val="6068328D"/>
    <w:rsid w:val="68F522EC"/>
    <w:rsid w:val="6E9B256F"/>
    <w:rsid w:val="6EDF45FE"/>
    <w:rsid w:val="6EF12BBF"/>
    <w:rsid w:val="77FA6A46"/>
    <w:rsid w:val="786F6749"/>
    <w:rsid w:val="7B947E4C"/>
    <w:rsid w:val="7C3F0B8D"/>
    <w:rsid w:val="7EEF0F7B"/>
    <w:rsid w:val="7FA2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keepLines/>
      <w:outlineLvl w:val="1"/>
    </w:pPr>
    <w:rPr>
      <w:rFonts w:eastAsia="楷体_GB2312" w:asciiTheme="majorHAnsi" w:hAnsiTheme="majorHAnsi" w:cstheme="majorBidi"/>
      <w:bCs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0"/>
    <w:qFormat/>
    <w:uiPriority w:val="0"/>
    <w:pPr>
      <w:jc w:val="center"/>
      <w:outlineLvl w:val="0"/>
    </w:pPr>
    <w:rPr>
      <w:rFonts w:eastAsia="方正小标宋简体" w:asciiTheme="majorHAnsi" w:hAnsiTheme="majorHAnsi" w:cstheme="majorBidi"/>
      <w:bCs/>
      <w:sz w:val="44"/>
      <w:szCs w:val="32"/>
    </w:rPr>
  </w:style>
  <w:style w:type="character" w:customStyle="1" w:styleId="10">
    <w:name w:val="标题 字符"/>
    <w:basedOn w:val="9"/>
    <w:link w:val="7"/>
    <w:qFormat/>
    <w:uiPriority w:val="0"/>
    <w:rPr>
      <w:rFonts w:eastAsia="方正小标宋简体" w:asciiTheme="majorHAnsi" w:hAnsiTheme="majorHAnsi" w:cstheme="majorBidi"/>
      <w:bCs/>
      <w:kern w:val="2"/>
      <w:sz w:val="44"/>
      <w:szCs w:val="32"/>
    </w:rPr>
  </w:style>
  <w:style w:type="character" w:customStyle="1" w:styleId="11">
    <w:name w:val="标题 1 字符"/>
    <w:basedOn w:val="9"/>
    <w:link w:val="3"/>
    <w:qFormat/>
    <w:uiPriority w:val="0"/>
    <w:rPr>
      <w:rFonts w:eastAsia="黑体" w:asciiTheme="minorHAnsi" w:hAnsiTheme="minorHAnsi" w:cstheme="minorBidi"/>
      <w:bCs/>
      <w:kern w:val="44"/>
      <w:sz w:val="32"/>
      <w:szCs w:val="44"/>
    </w:rPr>
  </w:style>
  <w:style w:type="character" w:customStyle="1" w:styleId="12">
    <w:name w:val="标题 2 字符"/>
    <w:basedOn w:val="9"/>
    <w:link w:val="4"/>
    <w:semiHidden/>
    <w:qFormat/>
    <w:uiPriority w:val="0"/>
    <w:rPr>
      <w:rFonts w:eastAsia="楷体_GB2312" w:asciiTheme="majorHAnsi" w:hAnsiTheme="majorHAnsi" w:cstheme="majorBidi"/>
      <w:bCs/>
      <w:kern w:val="2"/>
      <w:sz w:val="32"/>
      <w:szCs w:val="32"/>
    </w:rPr>
  </w:style>
  <w:style w:type="character" w:customStyle="1" w:styleId="13">
    <w:name w:val="页眉 字符"/>
    <w:basedOn w:val="9"/>
    <w:link w:val="6"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省安全生产监督管理局</Company>
  <Pages>3</Pages>
  <Words>524</Words>
  <Characters>586</Characters>
  <Lines>0</Lines>
  <Paragraphs>0</Paragraphs>
  <TotalTime>5</TotalTime>
  <ScaleCrop>false</ScaleCrop>
  <LinksUpToDate>false</LinksUpToDate>
  <CharactersWithSpaces>618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2022-06-23T06:18:00Z</dcterms:created>
  <dc:creator>刘妍文</dc:creator>
  <cp:lastModifiedBy>刘妍文</cp:lastModifiedBy>
  <cp:lastPrinted>2018-12-05T06:38:00Z</cp:lastPrinted>
  <dcterms:modified xsi:type="dcterms:W3CDTF">2022-06-24T07:43:28Z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userName">
    <vt:lpwstr>刘妍文</vt:lpwstr>
  </property>
  <property fmtid="{D5CDD505-2E9C-101B-9397-08002B2CF9AE}" pid="4" name="showFlag">
    <vt:bool>true</vt:bool>
  </property>
</Properties>
</file>