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CESI黑体-GB2312" w:hAnsi="CESI黑体-GB2312" w:eastAsia="CESI黑体-GB2312" w:cs="CESI黑体-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z w:val="44"/>
          <w:szCs w:val="44"/>
          <w:highlight w:val="none"/>
          <w:lang w:eastAsia="zh-CN"/>
        </w:rPr>
        <w:t>汕头高新区</w:t>
      </w:r>
      <w:r>
        <w:rPr>
          <w:rFonts w:hint="eastAsia" w:ascii="CESI黑体-GB2312" w:hAnsi="CESI黑体-GB2312" w:eastAsia="CESI黑体-GB2312" w:cs="CESI黑体-GB2312"/>
          <w:b w:val="0"/>
          <w:bCs w:val="0"/>
          <w:sz w:val="44"/>
          <w:szCs w:val="44"/>
          <w:highlight w:val="none"/>
          <w:lang w:val="en-US" w:eastAsia="zh-CN"/>
        </w:rPr>
        <w:t>“科技专项贷”合作银行申报书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sz w:val="44"/>
          <w:szCs w:val="44"/>
          <w:highlight w:val="none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color w:val="000000"/>
          <w:sz w:val="30"/>
          <w:highlight w:val="none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color w:val="000000"/>
          <w:sz w:val="30"/>
          <w:highlight w:val="none"/>
          <w:u w:val="single"/>
        </w:rPr>
      </w:pPr>
      <w:r>
        <w:rPr>
          <w:color w:val="000000"/>
          <w:sz w:val="30"/>
          <w:highlight w:val="none"/>
        </w:rPr>
        <w:t>申报</w:t>
      </w:r>
      <w:r>
        <w:rPr>
          <w:rFonts w:hint="eastAsia"/>
          <w:color w:val="000000"/>
          <w:sz w:val="30"/>
          <w:highlight w:val="none"/>
        </w:rPr>
        <w:t>机构</w:t>
      </w:r>
      <w:r>
        <w:rPr>
          <w:color w:val="000000"/>
          <w:sz w:val="30"/>
          <w:highlight w:val="none"/>
        </w:rPr>
        <w:t>（盖章）：</w:t>
      </w:r>
      <w:r>
        <w:rPr>
          <w:color w:val="000000"/>
          <w:sz w:val="30"/>
          <w:highlight w:val="none"/>
          <w:u w:val="single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1200" w:firstLineChars="400"/>
        <w:jc w:val="left"/>
        <w:rPr>
          <w:color w:val="000000"/>
          <w:sz w:val="28"/>
          <w:highlight w:val="none"/>
        </w:rPr>
      </w:pPr>
      <w:r>
        <w:rPr>
          <w:color w:val="000000"/>
          <w:sz w:val="30"/>
          <w:highlight w:val="none"/>
        </w:rPr>
        <w:t>申报</w:t>
      </w:r>
      <w:r>
        <w:rPr>
          <w:rFonts w:hint="eastAsia"/>
          <w:color w:val="000000"/>
          <w:sz w:val="30"/>
          <w:highlight w:val="none"/>
          <w:lang w:eastAsia="zh-CN"/>
        </w:rPr>
        <w:t>日期</w:t>
      </w:r>
      <w:r>
        <w:rPr>
          <w:rFonts w:hint="eastAsia"/>
          <w:color w:val="000000"/>
          <w:sz w:val="30"/>
          <w:highlight w:val="none"/>
          <w:lang w:val="en-US" w:eastAsia="zh-CN"/>
        </w:rPr>
        <w:t xml:space="preserve">    </w:t>
      </w:r>
      <w:r>
        <w:rPr>
          <w:color w:val="000000"/>
          <w:sz w:val="30"/>
          <w:highlight w:val="none"/>
        </w:rPr>
        <w:t>：</w:t>
      </w:r>
      <w:r>
        <w:rPr>
          <w:color w:val="000000"/>
          <w:sz w:val="30"/>
          <w:highlight w:val="none"/>
          <w:u w:val="single"/>
        </w:rPr>
        <w:t xml:space="preserve">                      </w:t>
      </w:r>
      <w:r>
        <w:rPr>
          <w:rFonts w:hint="eastAsia"/>
          <w:color w:val="000000"/>
          <w:sz w:val="30"/>
          <w:highlight w:val="none"/>
          <w:u w:val="single"/>
          <w:lang w:val="en-US" w:eastAsia="zh-CN"/>
        </w:rPr>
        <w:t xml:space="preserve">  </w:t>
      </w:r>
      <w:r>
        <w:rPr>
          <w:color w:val="000000"/>
          <w:sz w:val="30"/>
          <w:highlight w:val="none"/>
          <w:u w:val="single"/>
        </w:rPr>
        <w:t xml:space="preserve">           </w:t>
      </w: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color w:val="000000"/>
          <w:sz w:val="28"/>
          <w:highlight w:val="none"/>
        </w:rPr>
      </w:pPr>
    </w:p>
    <w:p>
      <w:pPr>
        <w:adjustRightInd w:val="0"/>
        <w:snapToGrid w:val="0"/>
        <w:spacing w:line="360" w:lineRule="auto"/>
        <w:rPr>
          <w:color w:val="000000"/>
          <w:sz w:val="30"/>
          <w:highlight w:val="none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both"/>
        <w:rPr>
          <w:rFonts w:eastAsia="长城小标宋体"/>
          <w:b/>
          <w:color w:val="000000"/>
          <w:sz w:val="36"/>
          <w:highlight w:val="none"/>
        </w:rPr>
      </w:pP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长城小标宋体"/>
          <w:b/>
          <w:color w:val="000000"/>
          <w:sz w:val="32"/>
          <w:szCs w:val="21"/>
          <w:highlight w:val="none"/>
        </w:rPr>
      </w:pPr>
    </w:p>
    <w:p>
      <w:pPr>
        <w:tabs>
          <w:tab w:val="left" w:pos="8736"/>
        </w:tabs>
        <w:adjustRightInd w:val="0"/>
        <w:snapToGrid w:val="0"/>
        <w:jc w:val="center"/>
        <w:rPr>
          <w:rFonts w:eastAsia="仿宋_GB2312"/>
          <w:bCs/>
          <w:color w:val="000000"/>
          <w:highlight w:val="none"/>
        </w:rPr>
      </w:pPr>
      <w:r>
        <w:rPr>
          <w:rFonts w:eastAsia="长城小标宋体"/>
          <w:b/>
          <w:color w:val="000000"/>
          <w:sz w:val="36"/>
          <w:highlight w:val="none"/>
        </w:rPr>
        <w:br w:type="page"/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1417"/>
        <w:gridCol w:w="1418"/>
        <w:gridCol w:w="279"/>
        <w:gridCol w:w="1705"/>
        <w:gridCol w:w="1670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jc w:val="left"/>
              <w:rPr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b/>
                <w:color w:val="000000"/>
                <w:sz w:val="28"/>
                <w:szCs w:val="28"/>
                <w:highlight w:val="none"/>
              </w:rPr>
              <w:t>一、</w:t>
            </w:r>
            <w:r>
              <w:rPr>
                <w:rFonts w:hint="eastAsia"/>
                <w:b/>
                <w:color w:val="000000"/>
                <w:sz w:val="28"/>
                <w:szCs w:val="28"/>
                <w:highlight w:val="none"/>
              </w:rPr>
              <w:t>商业银行</w:t>
            </w:r>
            <w:r>
              <w:rPr>
                <w:b/>
                <w:color w:val="000000"/>
                <w:sz w:val="28"/>
                <w:szCs w:val="28"/>
                <w:highlight w:val="none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机构</w:t>
            </w:r>
            <w:r>
              <w:rPr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企业统一社会信用代码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地  址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邮  编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法人代表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手机/电话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联 系 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手机/电话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传  真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ind w:firstLine="285" w:firstLineChars="150"/>
              <w:rPr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成立日期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000000"/>
                <w:spacing w:val="-10"/>
                <w:szCs w:val="21"/>
                <w:highlight w:val="none"/>
              </w:rPr>
            </w:pPr>
            <w:r>
              <w:rPr>
                <w:color w:val="000000"/>
                <w:spacing w:val="-10"/>
                <w:szCs w:val="21"/>
                <w:highlight w:val="none"/>
              </w:rPr>
              <w:t>注册资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本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969696"/>
                <w:spacing w:val="-1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全市网点数量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spacing w:val="-1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rFonts w:hint="eastAsia" w:eastAsia="宋体"/>
                <w:color w:val="969696"/>
                <w:spacing w:val="-1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5月至2022年5月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新增中小企业贷款户数占比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spacing w:val="-10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年5月至2022年5月新增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</w:rPr>
              <w:t>信用类（含保证）贷款平均利率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ind w:left="0" w:right="0" w:firstLine="0"/>
              <w:jc w:val="center"/>
              <w:rPr>
                <w:color w:val="969696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5月至2022年5月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val="en-US" w:eastAsia="zh-CN"/>
              </w:rPr>
              <w:t>新增</w:t>
            </w:r>
            <w:r>
              <w:rPr>
                <w:rFonts w:hint="eastAsia"/>
                <w:color w:val="auto"/>
                <w:kern w:val="0"/>
                <w:szCs w:val="21"/>
                <w:highlight w:val="none"/>
                <w:lang w:eastAsia="zh-CN"/>
              </w:rPr>
              <w:t>科技型企业贷款的企业数占比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spacing w:val="-10"/>
                <w:szCs w:val="21"/>
                <w:highlight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rFonts w:hint="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年科技型企业</w:t>
            </w:r>
          </w:p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贷款不良率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spacing w:val="-10"/>
                <w:szCs w:val="21"/>
                <w:highlight w:val="none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969696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近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年单户最高授信额度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0"/>
              <w:jc w:val="center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机构类型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beforeLines="0" w:line="360" w:lineRule="auto"/>
              <w:textAlignment w:val="auto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beforeLines="0" w:line="360" w:lineRule="auto"/>
              <w:textAlignment w:val="auto"/>
              <w:rPr>
                <w:rFonts w:hint="eastAsi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国有商业银行（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）；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股份制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商业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银行</w:t>
            </w:r>
            <w:r>
              <w:rPr>
                <w:color w:val="000000"/>
                <w:kern w:val="0"/>
                <w:szCs w:val="21"/>
                <w:highlight w:val="none"/>
              </w:rPr>
              <w:t>（  ）；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城市商业银行（  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0" w:beforeLines="0" w:line="360" w:lineRule="auto"/>
              <w:textAlignment w:val="auto"/>
              <w:rPr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农村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商业银行（   ）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；</w:t>
            </w:r>
            <w:r>
              <w:rPr>
                <w:color w:val="000000"/>
                <w:kern w:val="0"/>
                <w:szCs w:val="21"/>
                <w:highlight w:val="none"/>
              </w:rPr>
              <w:t>其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他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银行</w:t>
            </w:r>
            <w:r>
              <w:rPr>
                <w:color w:val="000000"/>
                <w:kern w:val="0"/>
                <w:szCs w:val="21"/>
                <w:highlight w:val="none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0"/>
              <w:jc w:val="center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机构</w:t>
            </w:r>
            <w:r>
              <w:rPr>
                <w:color w:val="000000"/>
                <w:spacing w:val="-10"/>
                <w:szCs w:val="21"/>
                <w:highlight w:val="none"/>
              </w:rPr>
              <w:t>简介：（主营业务范围、主要产品、主要市场及客户、核心竞争能力等）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  <w:p>
            <w:pPr>
              <w:widowControl/>
              <w:snapToGrid w:val="0"/>
              <w:spacing w:before="20" w:beforeLines="0"/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5月至2022年5月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本银行科技型企业贷款情况说明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rFonts w:hint="eastAsia"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5月至2022年5月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汕头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  <w:lang w:eastAsia="zh-CN"/>
              </w:rPr>
              <w:t>市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辖区内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  <w:lang w:eastAsia="zh-CN"/>
              </w:rPr>
              <w:t>本银行的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信贷资产质量水平，不良贷款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  <w:lang w:eastAsia="zh-CN"/>
              </w:rPr>
              <w:t>等违约</w:t>
            </w:r>
            <w:r>
              <w:rPr>
                <w:rFonts w:hint="eastAsia"/>
                <w:color w:val="000000"/>
                <w:spacing w:val="-10"/>
                <w:szCs w:val="21"/>
                <w:highlight w:val="none"/>
              </w:rPr>
              <w:t>基本情况说明</w:t>
            </w:r>
          </w:p>
        </w:tc>
        <w:tc>
          <w:tcPr>
            <w:tcW w:w="7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  <w:p>
            <w:pPr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b/>
                <w:color w:val="000000"/>
                <w:spacing w:val="-8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000000"/>
                <w:spacing w:val="-8"/>
                <w:sz w:val="28"/>
                <w:szCs w:val="28"/>
                <w:highlight w:val="none"/>
                <w:lang w:eastAsia="zh-CN"/>
              </w:rPr>
              <w:t>二</w:t>
            </w:r>
            <w:r>
              <w:rPr>
                <w:b/>
                <w:color w:val="000000"/>
                <w:spacing w:val="-8"/>
                <w:sz w:val="28"/>
                <w:szCs w:val="28"/>
                <w:highlight w:val="none"/>
              </w:rPr>
              <w:t>、</w:t>
            </w:r>
            <w:r>
              <w:rPr>
                <w:rFonts w:hint="eastAsia"/>
                <w:b/>
                <w:color w:val="000000"/>
                <w:spacing w:val="-8"/>
                <w:sz w:val="28"/>
                <w:szCs w:val="28"/>
                <w:highlight w:val="none"/>
                <w:lang w:eastAsia="zh-CN"/>
              </w:rPr>
              <w:t>科技型企业</w:t>
            </w:r>
            <w:r>
              <w:rPr>
                <w:rFonts w:hint="eastAsia"/>
                <w:b/>
                <w:color w:val="000000"/>
                <w:spacing w:val="-8"/>
                <w:sz w:val="28"/>
                <w:szCs w:val="28"/>
                <w:highlight w:val="none"/>
              </w:rPr>
              <w:t>金融产品相关情况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科技型企业</w:t>
            </w:r>
            <w:r>
              <w:rPr>
                <w:rFonts w:hint="eastAsia"/>
                <w:color w:val="000000"/>
                <w:szCs w:val="21"/>
                <w:highlight w:val="none"/>
              </w:rPr>
              <w:t>金融</w:t>
            </w:r>
          </w:p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主导产品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产品名称</w:t>
            </w: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ind w:left="0" w:right="0" w:firstLine="0"/>
              <w:jc w:val="center"/>
              <w:rPr>
                <w:color w:val="000000"/>
                <w:szCs w:val="21"/>
                <w:highlight w:val="none"/>
              </w:rPr>
            </w:pPr>
            <w:r>
              <w:rPr>
                <w:color w:val="000000"/>
                <w:spacing w:val="-8"/>
                <w:szCs w:val="21"/>
                <w:highlight w:val="none"/>
              </w:rPr>
              <w:t>上年度销售额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pacing w:val="-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pacing w:val="-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  <w:highlight w:val="none"/>
              </w:rPr>
            </w:pPr>
          </w:p>
        </w:tc>
        <w:tc>
          <w:tcPr>
            <w:tcW w:w="4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right"/>
              <w:rPr>
                <w:color w:val="000000"/>
                <w:spacing w:val="-8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近三年来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科技型企业</w:t>
            </w:r>
            <w:r>
              <w:rPr>
                <w:rFonts w:hint="eastAsia"/>
                <w:color w:val="000000"/>
                <w:szCs w:val="21"/>
                <w:highlight w:val="none"/>
              </w:rPr>
              <w:t>金融</w:t>
            </w:r>
            <w:r>
              <w:rPr>
                <w:color w:val="000000"/>
                <w:szCs w:val="21"/>
                <w:highlight w:val="none"/>
              </w:rPr>
              <w:t>产品</w:t>
            </w:r>
            <w:r>
              <w:rPr>
                <w:rFonts w:hint="eastAsia"/>
                <w:color w:val="000000"/>
                <w:szCs w:val="21"/>
                <w:highlight w:val="none"/>
              </w:rPr>
              <w:t>开发数量，及运营</w:t>
            </w:r>
            <w:r>
              <w:rPr>
                <w:color w:val="000000"/>
                <w:szCs w:val="21"/>
                <w:highlight w:val="none"/>
              </w:rPr>
              <w:t>水平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办理效率，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审贷及放贷的</w:t>
            </w:r>
            <w:r>
              <w:rPr>
                <w:rFonts w:hint="eastAsia"/>
                <w:color w:val="000000"/>
                <w:szCs w:val="21"/>
                <w:highlight w:val="none"/>
              </w:rPr>
              <w:t>平均时长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rFonts w:hint="eastAsia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出现坏账时风险追偿机制及实施办法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jc w:val="center"/>
              <w:rPr>
                <w:rFonts w:hint="eastAsia" w:eastAsia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与政府合作的</w:t>
            </w:r>
            <w:r>
              <w:rPr>
                <w:rFonts w:hint="default"/>
                <w:color w:val="000000"/>
                <w:szCs w:val="21"/>
                <w:highlight w:val="none"/>
                <w:lang w:eastAsia="zh-CN"/>
              </w:rPr>
              <w:t>项目</w:t>
            </w:r>
            <w:r>
              <w:rPr>
                <w:rFonts w:hint="eastAsia"/>
                <w:color w:val="000000"/>
                <w:szCs w:val="21"/>
                <w:highlight w:val="none"/>
                <w:lang w:eastAsia="zh-CN"/>
              </w:rPr>
              <w:t>情况说明（限广东省内，请尽量详细）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before="20" w:beforeLines="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0"/>
              <w:jc w:val="left"/>
              <w:rPr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三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、其他</w:t>
            </w:r>
            <w:r>
              <w:rPr>
                <w:color w:val="000000"/>
                <w:kern w:val="0"/>
                <w:szCs w:val="21"/>
                <w:highlight w:val="none"/>
              </w:rPr>
              <w:t>（</w:t>
            </w:r>
            <w:r>
              <w:rPr>
                <w:rFonts w:hint="eastAsia"/>
                <w:color w:val="000000"/>
                <w:kern w:val="0"/>
                <w:szCs w:val="21"/>
                <w:highlight w:val="none"/>
                <w:lang w:eastAsia="zh-CN"/>
              </w:rPr>
              <w:t>本银行的运营情况、产品优势及其他需要补充说明的情况</w:t>
            </w:r>
            <w:r>
              <w:rPr>
                <w:color w:val="000000"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rFonts w:hint="eastAsia" w:ascii="宋体" w:cs="宋体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ind w:firstLine="420" w:firstLineChars="200"/>
              <w:rPr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62" w:beforeLines="0"/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highlight w:val="none"/>
                <w:lang w:eastAsia="zh-CN"/>
              </w:rPr>
              <w:t>四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highlight w:val="none"/>
              </w:rPr>
              <w:t>、申报机构承诺意见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cs="宋体"/>
                <w:kern w:val="0"/>
                <w:sz w:val="28"/>
                <w:szCs w:val="28"/>
                <w:highlight w:val="none"/>
                <w:lang w:bidi="ar-SA"/>
              </w:rPr>
            </w:pPr>
          </w:p>
          <w:p>
            <w:pPr>
              <w:autoSpaceDE w:val="0"/>
              <w:autoSpaceDN w:val="0"/>
              <w:adjustRightInd w:val="0"/>
              <w:ind w:firstLine="640"/>
              <w:rPr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bidi="ar-SA"/>
              </w:rPr>
              <w:t>承诺</w:t>
            </w:r>
            <w:r>
              <w:rPr>
                <w:rFonts w:hint="eastAsia" w:ascii="宋体" w:cs="宋体"/>
                <w:kern w:val="0"/>
                <w:sz w:val="28"/>
                <w:szCs w:val="28"/>
                <w:highlight w:val="none"/>
                <w:lang w:val="zh-CN" w:eastAsia="zh-CN" w:bidi="ar-SA"/>
              </w:rPr>
              <w:t>本企业提供的资料均合法、有效、准确、真实、完整，无涉密信息，本企业愿为此承担有关法律责任。</w:t>
            </w:r>
          </w:p>
          <w:p>
            <w:pPr>
              <w:spacing w:line="300" w:lineRule="exact"/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</w:pPr>
          </w:p>
          <w:p>
            <w:pPr>
              <w:spacing w:line="300" w:lineRule="exact"/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</w:pPr>
          </w:p>
          <w:p>
            <w:pPr>
              <w:spacing w:line="300" w:lineRule="exact"/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</w:pPr>
          </w:p>
          <w:p>
            <w:pPr>
              <w:spacing w:line="300" w:lineRule="exact"/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</w:pPr>
          </w:p>
          <w:p>
            <w:pPr>
              <w:spacing w:line="300" w:lineRule="exact"/>
              <w:rPr>
                <w:rFonts w:hint="eastAsia" w:ascii="宋体" w:cs="宋体"/>
                <w:kern w:val="0"/>
                <w:szCs w:val="21"/>
                <w:highlight w:val="none"/>
                <w:lang w:bidi="ar-SA"/>
              </w:rPr>
            </w:pPr>
          </w:p>
          <w:p>
            <w:pPr>
              <w:widowControl/>
              <w:snapToGrid w:val="0"/>
              <w:spacing w:before="62" w:beforeLines="0"/>
              <w:rPr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highlight w:val="none"/>
                <w:lang w:bidi="ar-SA"/>
              </w:rPr>
              <w:t xml:space="preserve"> 法人代表（签章）：                            </w:t>
            </w:r>
            <w:r>
              <w:rPr>
                <w:color w:val="000000"/>
                <w:kern w:val="0"/>
                <w:sz w:val="22"/>
                <w:szCs w:val="22"/>
                <w:highlight w:val="none"/>
              </w:rPr>
              <w:t xml:space="preserve">  申报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highlight w:val="none"/>
              </w:rPr>
              <w:t>银行</w:t>
            </w:r>
            <w:r>
              <w:rPr>
                <w:color w:val="000000"/>
                <w:kern w:val="0"/>
                <w:sz w:val="22"/>
                <w:szCs w:val="22"/>
                <w:highlight w:val="none"/>
              </w:rPr>
              <w:t>（盖章）</w:t>
            </w:r>
          </w:p>
          <w:p>
            <w:pPr>
              <w:widowControl/>
              <w:snapToGrid w:val="0"/>
              <w:spacing w:before="62" w:beforeLines="0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napToGrid w:val="0"/>
              <w:spacing w:before="62" w:beforeLines="0"/>
              <w:ind w:firstLine="4180" w:firstLineChars="1900"/>
              <w:rPr>
                <w:color w:val="000000"/>
                <w:kern w:val="0"/>
                <w:sz w:val="22"/>
                <w:szCs w:val="22"/>
                <w:highlight w:val="none"/>
              </w:rPr>
            </w:pPr>
          </w:p>
          <w:p>
            <w:pPr>
              <w:widowControl/>
              <w:snapToGrid w:val="0"/>
              <w:spacing w:before="62" w:beforeLines="0"/>
              <w:ind w:firstLine="5500" w:firstLineChars="2500"/>
              <w:rPr>
                <w:color w:val="000000"/>
                <w:szCs w:val="21"/>
                <w:highlight w:val="none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  <w:highlight w:val="none"/>
                <w:lang w:bidi="ar-SA"/>
              </w:rPr>
              <w:t xml:space="preserve">日期：  年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K" w:eastAsia="方正仿宋_GBK" w:cs="方正仿宋_GBK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eastAsia="方正仿宋_GBK" w:cs="方正仿宋_GBK"/>
          <w:b/>
          <w:bCs/>
          <w:color w:val="000000"/>
          <w:sz w:val="28"/>
          <w:szCs w:val="21"/>
          <w:highlight w:val="none"/>
          <w:lang w:eastAsia="zh-CN" w:bidi="ar-SA"/>
        </w:rPr>
        <w:t>注</w:t>
      </w:r>
      <w:r>
        <w:rPr>
          <w:rFonts w:hint="eastAsia" w:ascii="方正仿宋_GBK" w:eastAsia="方正仿宋_GBK" w:cs="方正仿宋_GBK"/>
          <w:color w:val="000000"/>
          <w:sz w:val="28"/>
          <w:szCs w:val="21"/>
          <w:highlight w:val="none"/>
          <w:lang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lang w:val="en-US" w:eastAsia="zh-CN" w:bidi="ar-SA"/>
        </w:rPr>
        <w:t>1</w:t>
      </w:r>
      <w:r>
        <w:rPr>
          <w:rFonts w:hint="eastAsia" w:ascii="方正仿宋_GBK" w:eastAsia="方正仿宋_GBK" w:cs="方正仿宋_GBK"/>
          <w:color w:val="000000"/>
          <w:sz w:val="28"/>
          <w:szCs w:val="28"/>
          <w:highlight w:val="none"/>
          <w:lang w:val="en-US" w:eastAsia="zh-CN" w:bidi="ar-SA"/>
        </w:rPr>
        <w:t>.请提供营业执照复印件（盖章）。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方正仿宋_GBK" w:eastAsia="方正仿宋_GBK" w:cs="方正仿宋_GBK"/>
          <w:color w:val="000000"/>
          <w:sz w:val="28"/>
          <w:szCs w:val="28"/>
          <w:highlight w:val="none"/>
          <w:lang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lang w:val="en-US" w:eastAsia="zh-CN" w:bidi="ar-SA"/>
        </w:rPr>
        <w:t>2</w:t>
      </w:r>
      <w:r>
        <w:rPr>
          <w:rFonts w:hint="eastAsia" w:ascii="方正仿宋_GBK" w:eastAsia="方正仿宋_GBK" w:cs="方正仿宋_GBK"/>
          <w:color w:val="000000"/>
          <w:sz w:val="28"/>
          <w:szCs w:val="28"/>
          <w:highlight w:val="none"/>
          <w:lang w:val="en-US" w:eastAsia="zh-CN" w:bidi="ar-SA"/>
        </w:rPr>
        <w:t>.</w:t>
      </w:r>
      <w:r>
        <w:rPr>
          <w:rFonts w:hint="eastAsia" w:ascii="方正仿宋_GBK" w:eastAsia="方正仿宋_GBK" w:cs="方正仿宋_GBK"/>
          <w:color w:val="000000"/>
          <w:sz w:val="28"/>
          <w:szCs w:val="28"/>
          <w:highlight w:val="none"/>
          <w:lang w:eastAsia="zh-CN" w:bidi="ar-SA"/>
        </w:rPr>
        <w:t>表格中填写的指标数据应提供相应的佐证材料。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839" w:leftChars="266" w:hanging="280" w:hangingChars="100"/>
        <w:jc w:val="both"/>
        <w:textAlignment w:val="auto"/>
        <w:rPr>
          <w:rFonts w:hint="default" w:ascii="方正仿宋_GBK" w:eastAsia="方正仿宋_GBK" w:cs="方正仿宋_GBK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方正仿宋_GBK" w:eastAsia="方正仿宋_GBK" w:cs="方正仿宋_GBK"/>
          <w:color w:val="000000"/>
          <w:sz w:val="28"/>
          <w:szCs w:val="28"/>
          <w:highlight w:val="none"/>
          <w:lang w:val="en-US" w:eastAsia="zh-CN" w:bidi="ar-SA"/>
        </w:rPr>
        <w:t>.本申报书中“科技型企业”相关指标的统计口径为高新技术企业、科技型中小企业和“专精特新”企业。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g4OTQ4OTk0NTdiZjNjNmFjYmYzZTZlNjNkOWUifQ=="/>
  </w:docVars>
  <w:rsids>
    <w:rsidRoot w:val="00000000"/>
    <w:rsid w:val="028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2022-06-21T08:54:40Z</dcterms:created>
  <dc:creator>Administrator</dc:creator>
  <cp:lastModifiedBy>Administrator</cp:lastModifiedBy>
  <dcterms:modified xsi:type="dcterms:W3CDTF">2022-06-21T08:55:11Z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ED28A635184549E0BFD681F1F19D97D2</vt:lpwstr>
  </property>
</Properties>
</file>