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2020年度</w:t>
      </w:r>
      <w:r>
        <w:rPr>
          <w:rFonts w:hint="eastAsia" w:ascii="方正小标宋简体" w:hAnsi="方正小标宋简体" w:eastAsia="方正小标宋简体" w:cs="方正小标宋简体"/>
          <w:b/>
          <w:bCs/>
          <w:sz w:val="44"/>
          <w:szCs w:val="44"/>
        </w:rPr>
        <w:t>扶持汕头港集装箱运输补助</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资金</w:t>
      </w:r>
      <w:r>
        <w:rPr>
          <w:rFonts w:hint="eastAsia" w:ascii="方正小标宋简体" w:hAnsi="方正小标宋简体" w:eastAsia="方正小标宋简体" w:cs="方正小标宋简体"/>
          <w:b/>
          <w:bCs/>
          <w:sz w:val="44"/>
          <w:szCs w:val="44"/>
          <w:lang w:eastAsia="zh-CN"/>
        </w:rPr>
        <w:t>项目</w:t>
      </w:r>
      <w:r>
        <w:rPr>
          <w:rFonts w:hint="eastAsia" w:ascii="方正小标宋简体" w:hAnsi="方正小标宋简体" w:eastAsia="方正小标宋简体" w:cs="方正小标宋简体"/>
          <w:b/>
          <w:bCs/>
          <w:sz w:val="44"/>
          <w:szCs w:val="44"/>
        </w:rPr>
        <w:t>绩效评价报告</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outlineLvl w:val="0"/>
        <w:rPr>
          <w:rFonts w:ascii="Times New Roman" w:hAnsi="Times New Roman" w:eastAsia="黑体" w:cs="Times New Roman"/>
          <w:b/>
          <w:bCs/>
          <w:sz w:val="32"/>
          <w:szCs w:val="32"/>
        </w:rPr>
      </w:pPr>
      <w:bookmarkStart w:id="0" w:name="_Toc19376"/>
      <w:bookmarkStart w:id="1" w:name="_Toc1358"/>
      <w:r>
        <w:rPr>
          <w:rFonts w:ascii="Times New Roman" w:hAnsi="Times New Roman" w:eastAsia="黑体" w:cs="Times New Roman"/>
          <w:b/>
          <w:bCs/>
          <w:sz w:val="32"/>
          <w:szCs w:val="32"/>
        </w:rPr>
        <w:t>评价项目概要</w:t>
      </w:r>
      <w:bookmarkEnd w:id="0"/>
      <w:bookmarkEnd w:id="1"/>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sz w:val="32"/>
          <w:szCs w:val="20"/>
        </w:rPr>
      </w:pPr>
      <w:bookmarkStart w:id="2" w:name="_Toc10901"/>
      <w:bookmarkStart w:id="3" w:name="_Toc32520"/>
      <w:r>
        <w:rPr>
          <w:rFonts w:hint="eastAsia" w:ascii="仿宋" w:hAnsi="仿宋" w:eastAsia="仿宋" w:cs="仿宋"/>
          <w:b/>
          <w:bCs/>
          <w:color w:val="000000"/>
          <w:sz w:val="32"/>
          <w:szCs w:val="20"/>
        </w:rPr>
        <w:t>项目概况</w:t>
      </w:r>
      <w:bookmarkEnd w:id="2"/>
      <w:bookmarkEnd w:id="3"/>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firstLine="643" w:firstLineChars="200"/>
        <w:textAlignment w:val="auto"/>
        <w:outlineLvl w:val="2"/>
        <w:rPr>
          <w:rFonts w:ascii="仿宋" w:hAnsi="仿宋" w:eastAsia="仿宋" w:cs="仿宋"/>
          <w:b/>
          <w:bCs/>
          <w:color w:val="000000" w:themeColor="text1"/>
          <w:sz w:val="32"/>
          <w:szCs w:val="32"/>
        </w:rPr>
      </w:pPr>
      <w:bookmarkStart w:id="4" w:name="_Toc9961"/>
      <w:bookmarkStart w:id="5" w:name="_Toc8208"/>
      <w:r>
        <w:rPr>
          <w:rFonts w:hint="eastAsia" w:ascii="仿宋" w:hAnsi="仿宋" w:eastAsia="仿宋" w:cs="仿宋"/>
          <w:b/>
          <w:bCs/>
          <w:color w:val="000000" w:themeColor="text1"/>
          <w:sz w:val="32"/>
          <w:szCs w:val="32"/>
        </w:rPr>
        <w:t>1.项目背景</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rPr>
      </w:pPr>
      <w:bookmarkStart w:id="6" w:name="_Toc804"/>
      <w:bookmarkStart w:id="7" w:name="_Toc3215"/>
      <w:r>
        <w:rPr>
          <w:rFonts w:hint="eastAsia" w:ascii="Times New Roman" w:hAnsi="Times New Roman" w:eastAsia="仿宋_GB2312" w:cs="Times New Roman"/>
          <w:color w:val="000000" w:themeColor="text1"/>
          <w:sz w:val="32"/>
          <w:szCs w:val="32"/>
        </w:rPr>
        <w:t>2019年11月13日，汕头市人民政府办公室印发《关于支持汕头港广澳港区发展的若干措施》（汕府办〔2019〕52 号，以下简称《若干措施》），自2020年1月1日至2022年12月31日止，连续三年每年安排1亿元支持广澳港区集装箱业务发展，补助项目涵盖新增航线、中转箱和海铁联运等七大方面，增强了船公司和货主的信心，对集装箱吞吐量增长起到积极促进作用。2020年3月6日，为应对新冠肺炎疫情对港航业的严重冲击，经汕头市人民政府同意，汕头市交通运输局联合汕头市商务局印发《关于应对新冠肺炎疫情支持港航物流企业复产若干措施的通知》，适当调低《若干措施》中2020年的航线补助门槛，并在2020年2-4月期间对全港外贸集装箱航次箱量及拖车司机复工予以补贴。2020年9月17日，根据市稳外贸稳外资促消费座谈会的精神，经汕头市人民政府同意，汕头市交通运输局联合汕头市商务局印发《关于统筹做好常态化疫情防控工作优化调整广澳港区集装箱扶持政策的通知》(汕交水便函【2020】181号)，对《若干措施》的部分补助项目进行优化调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本次评价基准日为</w:t>
      </w:r>
      <w:r>
        <w:rPr>
          <w:rFonts w:hint="eastAsia" w:ascii="Times New Roman" w:hAnsi="Times New Roman" w:eastAsia="仿宋_GB2312" w:cs="Times New Roman"/>
          <w:color w:val="000000" w:themeColor="text1"/>
          <w:sz w:val="32"/>
          <w:szCs w:val="32"/>
        </w:rPr>
        <w:t>2021</w:t>
      </w:r>
      <w:r>
        <w:rPr>
          <w:rFonts w:ascii="Times New Roman" w:hAnsi="Times New Roman" w:eastAsia="仿宋_GB2312" w:cs="Times New Roman"/>
          <w:color w:val="000000" w:themeColor="text1"/>
          <w:sz w:val="32"/>
          <w:szCs w:val="32"/>
        </w:rPr>
        <w:t>年</w:t>
      </w:r>
      <w:r>
        <w:rPr>
          <w:rFonts w:hint="eastAsia" w:ascii="Times New Roman" w:hAnsi="Times New Roman" w:eastAsia="仿宋_GB2312" w:cs="Times New Roman"/>
          <w:color w:val="000000" w:themeColor="text1"/>
          <w:sz w:val="32"/>
          <w:szCs w:val="32"/>
        </w:rPr>
        <w:t>3月31日</w:t>
      </w:r>
      <w:r>
        <w:rPr>
          <w:rFonts w:ascii="Times New Roman" w:hAnsi="Times New Roman" w:eastAsia="仿宋_GB2312" w:cs="Times New Roman"/>
          <w:color w:val="000000" w:themeColor="text1"/>
          <w:sz w:val="32"/>
          <w:szCs w:val="32"/>
        </w:rPr>
        <w:t>。</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firstLine="643" w:firstLineChars="200"/>
        <w:textAlignment w:val="auto"/>
        <w:outlineLvl w:val="2"/>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2.项目资金投入和使用情况</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本次评价项目预算资金安排</w:t>
      </w:r>
      <w:r>
        <w:rPr>
          <w:rFonts w:hint="eastAsia" w:ascii="Times New Roman" w:hAnsi="Times New Roman" w:eastAsia="仿宋_GB2312" w:cs="Times New Roman"/>
          <w:color w:val="000000" w:themeColor="text1"/>
          <w:sz w:val="32"/>
          <w:szCs w:val="32"/>
        </w:rPr>
        <w:t>3500</w:t>
      </w:r>
      <w:r>
        <w:rPr>
          <w:rFonts w:ascii="Times New Roman" w:hAnsi="Times New Roman" w:eastAsia="仿宋_GB2312" w:cs="Times New Roman"/>
          <w:color w:val="000000" w:themeColor="text1"/>
          <w:sz w:val="32"/>
          <w:szCs w:val="32"/>
        </w:rPr>
        <w:t>万元</w:t>
      </w:r>
      <w:r>
        <w:rPr>
          <w:rFonts w:hint="eastAsia" w:ascii="Times New Roman" w:hAnsi="Times New Roman" w:eastAsia="仿宋_GB2312" w:cs="Times New Roman"/>
          <w:color w:val="000000" w:themeColor="text1"/>
          <w:sz w:val="32"/>
          <w:szCs w:val="32"/>
        </w:rPr>
        <w:t>（汕市财预〔2020〕2号批准）</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截止2021</w:t>
      </w:r>
      <w:r>
        <w:rPr>
          <w:rFonts w:ascii="Times New Roman" w:hAnsi="Times New Roman" w:eastAsia="仿宋_GB2312" w:cs="Times New Roman"/>
          <w:color w:val="000000" w:themeColor="text1"/>
          <w:sz w:val="32"/>
          <w:szCs w:val="32"/>
        </w:rPr>
        <w:t>年</w:t>
      </w:r>
      <w:r>
        <w:rPr>
          <w:rFonts w:hint="eastAsia" w:ascii="Times New Roman" w:hAnsi="Times New Roman" w:eastAsia="仿宋_GB2312" w:cs="Times New Roman"/>
          <w:color w:val="000000" w:themeColor="text1"/>
          <w:sz w:val="32"/>
          <w:szCs w:val="32"/>
        </w:rPr>
        <w:t>3月31日，财政</w:t>
      </w:r>
      <w:r>
        <w:rPr>
          <w:rFonts w:ascii="Times New Roman" w:hAnsi="Times New Roman" w:eastAsia="仿宋_GB2312" w:cs="Times New Roman"/>
          <w:color w:val="000000" w:themeColor="text1"/>
          <w:sz w:val="32"/>
          <w:szCs w:val="32"/>
        </w:rPr>
        <w:t>实际拨付资金</w:t>
      </w:r>
      <w:r>
        <w:rPr>
          <w:rFonts w:hint="eastAsia" w:ascii="Times New Roman" w:hAnsi="Times New Roman" w:eastAsia="仿宋_GB2312" w:cs="Times New Roman"/>
          <w:color w:val="000000" w:themeColor="text1"/>
          <w:sz w:val="32"/>
          <w:szCs w:val="32"/>
        </w:rPr>
        <w:t>3192.145</w:t>
      </w:r>
      <w:r>
        <w:rPr>
          <w:rFonts w:ascii="Times New Roman" w:hAnsi="Times New Roman" w:eastAsia="仿宋_GB2312" w:cs="Times New Roman"/>
          <w:color w:val="000000" w:themeColor="text1"/>
          <w:sz w:val="32"/>
          <w:szCs w:val="32"/>
        </w:rPr>
        <w:t>万元</w:t>
      </w:r>
      <w:r>
        <w:rPr>
          <w:rFonts w:hint="eastAsia" w:ascii="Times New Roman" w:hAnsi="Times New Roman" w:eastAsia="仿宋_GB2312" w:cs="Times New Roman"/>
          <w:color w:val="000000" w:themeColor="text1"/>
          <w:sz w:val="32"/>
          <w:szCs w:val="32"/>
        </w:rPr>
        <w:t>（含已下达指标未付款526.265万元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其中因资料错漏应退回50元），汕头港项目</w:t>
      </w:r>
      <w:r>
        <w:rPr>
          <w:rFonts w:ascii="Times New Roman" w:hAnsi="Times New Roman" w:eastAsia="仿宋_GB2312" w:cs="Times New Roman"/>
          <w:color w:val="000000" w:themeColor="text1"/>
          <w:sz w:val="32"/>
          <w:szCs w:val="32"/>
        </w:rPr>
        <w:t>资金总体</w:t>
      </w:r>
      <w:r>
        <w:rPr>
          <w:rFonts w:hint="eastAsia" w:ascii="Times New Roman" w:hAnsi="Times New Roman" w:eastAsia="仿宋_GB2312" w:cs="Times New Roman"/>
          <w:color w:val="000000" w:themeColor="text1"/>
          <w:sz w:val="32"/>
          <w:szCs w:val="32"/>
        </w:rPr>
        <w:t>拨付占预算91.20%，</w:t>
      </w:r>
      <w:r>
        <w:rPr>
          <w:rFonts w:ascii="Times New Roman" w:hAnsi="Times New Roman" w:eastAsia="仿宋_GB2312" w:cs="Times New Roman"/>
          <w:color w:val="000000" w:themeColor="text1"/>
          <w:sz w:val="32"/>
          <w:szCs w:val="32"/>
        </w:rPr>
        <w:t>支出率</w:t>
      </w:r>
      <w:r>
        <w:rPr>
          <w:rFonts w:hint="eastAsia" w:ascii="Times New Roman" w:hAnsi="Times New Roman" w:eastAsia="仿宋_GB2312" w:cs="Times New Roman"/>
          <w:color w:val="000000" w:themeColor="text1"/>
          <w:sz w:val="32"/>
          <w:szCs w:val="32"/>
        </w:rPr>
        <w:t>82.70</w:t>
      </w:r>
      <w:r>
        <w:rPr>
          <w:rFonts w:ascii="Times New Roman" w:hAnsi="Times New Roman" w:eastAsia="仿宋_GB2312" w:cs="Times New Roman"/>
          <w:color w:val="000000" w:themeColor="text1"/>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sz w:val="32"/>
          <w:szCs w:val="20"/>
        </w:rPr>
      </w:pPr>
      <w:bookmarkStart w:id="8" w:name="_Toc32279"/>
      <w:bookmarkStart w:id="9" w:name="_Toc5612"/>
      <w:r>
        <w:rPr>
          <w:rFonts w:hint="eastAsia" w:ascii="仿宋" w:hAnsi="仿宋" w:eastAsia="仿宋" w:cs="仿宋"/>
          <w:b/>
          <w:bCs/>
          <w:color w:val="000000"/>
          <w:sz w:val="32"/>
          <w:szCs w:val="20"/>
        </w:rPr>
        <w:t>项目绩效目标</w:t>
      </w:r>
      <w:bookmarkEnd w:id="8"/>
      <w:bookmarkEnd w:id="9"/>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textAlignment w:val="auto"/>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color w:val="000000" w:themeColor="text1"/>
          <w:kern w:val="2"/>
          <w:sz w:val="32"/>
          <w:szCs w:val="32"/>
        </w:rPr>
        <w:t>根据“汕市财预〔2020〕2号”文，汕头港项目应实现以下绩效目标：项目资金支出率100%；新增航线3条；服务对象满意度达85%以上；汕头市交通运输局根据《若干措施》增加汕头港项目绩效目标为</w:t>
      </w:r>
      <w:r>
        <w:rPr>
          <w:rFonts w:hint="eastAsia" w:ascii="Times New Roman" w:hAnsi="Times New Roman" w:eastAsia="仿宋_GB2312" w:cs="Times New Roman"/>
          <w:color w:val="000000" w:themeColor="text1"/>
          <w:sz w:val="32"/>
          <w:szCs w:val="32"/>
        </w:rPr>
        <w:t>完成集装箱吞吐量增长5%和中转集装箱量增长5%</w:t>
      </w:r>
      <w:r>
        <w:rPr>
          <w:rFonts w:hint="eastAsia" w:ascii="Times New Roman" w:hAnsi="Times New Roman" w:eastAsia="仿宋_GB2312" w:cs="Times New Roman"/>
          <w:color w:val="000000" w:themeColor="text1"/>
          <w:kern w:val="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3" w:firstLineChars="200"/>
        <w:textAlignment w:val="auto"/>
        <w:outlineLvl w:val="1"/>
        <w:rPr>
          <w:rFonts w:hint="eastAsia" w:ascii="仿宋" w:hAnsi="仿宋" w:eastAsia="仿宋" w:cs="仿宋"/>
          <w:b/>
          <w:bCs/>
          <w:color w:val="000000"/>
          <w:sz w:val="32"/>
          <w:szCs w:val="20"/>
        </w:rPr>
      </w:pPr>
      <w:bookmarkStart w:id="10" w:name="_Toc613"/>
      <w:bookmarkStart w:id="11" w:name="_Toc11318"/>
      <w:r>
        <w:rPr>
          <w:rFonts w:hint="eastAsia" w:ascii="仿宋" w:hAnsi="仿宋" w:eastAsia="仿宋" w:cs="仿宋"/>
          <w:b/>
          <w:bCs/>
          <w:color w:val="000000"/>
          <w:sz w:val="32"/>
          <w:szCs w:val="20"/>
        </w:rPr>
        <w:t>评价原则与评价方法</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根据财政部《关于印发〈项目支出绩效评价管理办法〉的通知》（财预</w:t>
      </w:r>
      <w:bookmarkStart w:id="48" w:name="_GoBack"/>
      <w:bookmarkEnd w:id="48"/>
      <w:r>
        <w:rPr>
          <w:rFonts w:hint="eastAsia" w:ascii="Times New Roman" w:hAnsi="Times New Roman" w:eastAsia="仿宋_GB2312" w:cs="Times New Roman"/>
          <w:color w:val="000000" w:themeColor="text1"/>
          <w:sz w:val="32"/>
          <w:szCs w:val="32"/>
        </w:rPr>
        <w:t>（2020）10号）、《转发市财政局关于开展财政支出绩效评价工作意见的通知》（汕府办〔2005〕46号）和汕头市财政局《关于开展2021年市级第二批预算项目支出重点绩效评价工作的通知》（汕市财法函〔2021〕86号）</w:t>
      </w:r>
      <w:r>
        <w:rPr>
          <w:rFonts w:ascii="Times New Roman" w:hAnsi="Times New Roman" w:eastAsia="仿宋_GB2312" w:cs="Times New Roman"/>
          <w:color w:val="000000" w:themeColor="text1"/>
          <w:sz w:val="32"/>
          <w:szCs w:val="32"/>
        </w:rPr>
        <w:t>的规定，结合本项目特点，根据</w:t>
      </w:r>
      <w:r>
        <w:rPr>
          <w:rFonts w:hint="eastAsia" w:ascii="Times New Roman" w:hAnsi="Times New Roman" w:eastAsia="仿宋_GB2312" w:cs="Times New Roman"/>
          <w:color w:val="000000" w:themeColor="text1"/>
          <w:sz w:val="32"/>
          <w:szCs w:val="32"/>
        </w:rPr>
        <w:t>汕头市交通运输局、汕头市港航事务中心提供的有关资料</w:t>
      </w:r>
      <w:r>
        <w:rPr>
          <w:rFonts w:ascii="Times New Roman" w:hAnsi="Times New Roman" w:eastAsia="仿宋_GB2312" w:cs="Times New Roman"/>
          <w:color w:val="000000" w:themeColor="text1"/>
          <w:sz w:val="32"/>
          <w:szCs w:val="32"/>
        </w:rPr>
        <w:t>，采用目标预定与实施效果比较法、</w:t>
      </w:r>
      <w:r>
        <w:rPr>
          <w:rFonts w:hint="eastAsia" w:ascii="Times New Roman" w:hAnsi="Times New Roman" w:eastAsia="仿宋_GB2312" w:cs="Times New Roman"/>
          <w:color w:val="000000" w:themeColor="text1"/>
          <w:sz w:val="32"/>
          <w:szCs w:val="32"/>
        </w:rPr>
        <w:t>案卷研究、</w:t>
      </w:r>
      <w:r>
        <w:rPr>
          <w:rFonts w:ascii="Times New Roman" w:hAnsi="Times New Roman" w:eastAsia="仿宋_GB2312" w:cs="Times New Roman"/>
          <w:color w:val="000000" w:themeColor="text1"/>
          <w:sz w:val="32"/>
          <w:szCs w:val="32"/>
        </w:rPr>
        <w:t>问卷调查法、抽样调查法</w:t>
      </w:r>
      <w:r>
        <w:rPr>
          <w:rFonts w:hint="eastAsia" w:ascii="Times New Roman" w:hAnsi="Times New Roman" w:eastAsia="仿宋_GB2312" w:cs="Times New Roman"/>
          <w:color w:val="000000" w:themeColor="text1"/>
          <w:sz w:val="32"/>
          <w:szCs w:val="32"/>
        </w:rPr>
        <w:t>以及实地调研</w:t>
      </w:r>
      <w:r>
        <w:rPr>
          <w:rFonts w:ascii="Times New Roman" w:hAnsi="Times New Roman" w:eastAsia="仿宋_GB2312" w:cs="Times New Roman"/>
          <w:color w:val="000000" w:themeColor="text1"/>
          <w:sz w:val="32"/>
          <w:szCs w:val="32"/>
        </w:rPr>
        <w:t>等</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用定量指标分析，并辅以部分定性分析</w:t>
      </w:r>
      <w:r>
        <w:rPr>
          <w:rFonts w:hint="eastAsia" w:ascii="Times New Roman" w:hAnsi="Times New Roman" w:eastAsia="仿宋_GB2312" w:cs="Times New Roman"/>
          <w:color w:val="000000" w:themeColor="text1"/>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outlineLvl w:val="0"/>
        <w:rPr>
          <w:rFonts w:ascii="Times New Roman" w:hAnsi="Times New Roman" w:eastAsia="黑体" w:cs="Times New Roman"/>
          <w:b/>
          <w:bCs/>
          <w:sz w:val="32"/>
          <w:szCs w:val="32"/>
        </w:rPr>
      </w:pPr>
      <w:bookmarkStart w:id="12" w:name="_Toc28210"/>
      <w:bookmarkStart w:id="13" w:name="_Toc12292"/>
      <w:r>
        <w:rPr>
          <w:rFonts w:ascii="Times New Roman" w:hAnsi="Times New Roman" w:eastAsia="黑体" w:cs="Times New Roman"/>
          <w:b/>
          <w:bCs/>
          <w:sz w:val="32"/>
          <w:szCs w:val="32"/>
        </w:rPr>
        <w:t>评价结论与绩效分析</w:t>
      </w:r>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通过分析自评材料、项目实施单位提供的相关资料、现场核实和问卷调查等情况，评价小组从投入、过程、产出、效益等4个一级指标、9个二级指标、19个三级指标对项目进行综合评价，得分90.20分，绩效等级为“优”</w:t>
      </w:r>
    </w:p>
    <w:p>
      <w:pPr>
        <w:spacing w:line="360" w:lineRule="auto"/>
        <w:jc w:val="center"/>
        <w:rPr>
          <w:rFonts w:ascii="Times New Roman" w:hAnsi="Times New Roman" w:eastAsia="黑体" w:cs="Times New Roman"/>
          <w:sz w:val="28"/>
          <w:szCs w:val="28"/>
        </w:rPr>
      </w:pPr>
      <w:bookmarkStart w:id="14" w:name="_Toc8073"/>
      <w:r>
        <w:rPr>
          <w:rFonts w:hint="eastAsia" w:ascii="Times New Roman" w:hAnsi="Times New Roman" w:eastAsia="黑体" w:cs="Times New Roman"/>
          <w:sz w:val="28"/>
          <w:szCs w:val="28"/>
        </w:rPr>
        <w:t>表2-1</w:t>
      </w:r>
      <w:r>
        <w:rPr>
          <w:rFonts w:ascii="Times New Roman" w:hAnsi="Times New Roman" w:eastAsia="黑体" w:cs="Times New Roman"/>
          <w:sz w:val="28"/>
          <w:szCs w:val="28"/>
        </w:rPr>
        <w:t>评价情况总表</w:t>
      </w:r>
      <w:bookmarkEnd w:id="14"/>
    </w:p>
    <w:tbl>
      <w:tblPr>
        <w:tblStyle w:val="15"/>
        <w:tblW w:w="8336" w:type="dxa"/>
        <w:tblInd w:w="0" w:type="dxa"/>
        <w:tblLayout w:type="fixed"/>
        <w:tblCellMar>
          <w:top w:w="0" w:type="dxa"/>
          <w:left w:w="0" w:type="dxa"/>
          <w:bottom w:w="0" w:type="dxa"/>
          <w:right w:w="0" w:type="dxa"/>
        </w:tblCellMar>
      </w:tblPr>
      <w:tblGrid>
        <w:gridCol w:w="2084"/>
        <w:gridCol w:w="2084"/>
        <w:gridCol w:w="2084"/>
        <w:gridCol w:w="2084"/>
      </w:tblGrid>
      <w:tr>
        <w:tblPrEx>
          <w:tblCellMar>
            <w:top w:w="0" w:type="dxa"/>
            <w:left w:w="0" w:type="dxa"/>
            <w:bottom w:w="0" w:type="dxa"/>
            <w:right w:w="0" w:type="dxa"/>
          </w:tblCellMar>
        </w:tblPrEx>
        <w:trPr>
          <w:trHeight w:val="518" w:hRule="atLeast"/>
          <w:tblHeader/>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评价因素</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sz w:val="24"/>
              </w:rPr>
              <w:t>分值</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sz w:val="24"/>
              </w:rPr>
              <w:t>评价得分</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sz w:val="24"/>
              </w:rPr>
              <w:t>得分率</w:t>
            </w:r>
          </w:p>
        </w:tc>
      </w:tr>
      <w:tr>
        <w:tblPrEx>
          <w:tblCellMar>
            <w:top w:w="0" w:type="dxa"/>
            <w:left w:w="0" w:type="dxa"/>
            <w:bottom w:w="0" w:type="dxa"/>
            <w:right w:w="0" w:type="dxa"/>
          </w:tblCellMar>
        </w:tblPrEx>
        <w:trPr>
          <w:trHeight w:val="401" w:hRule="atLeast"/>
          <w:tblHeader/>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Times New Roman" w:hAnsi="Times New Roman" w:eastAsia="仿宋_GB2312" w:cs="Times New Roman"/>
                <w:color w:val="000000" w:themeColor="text1"/>
                <w:sz w:val="24"/>
              </w:rPr>
            </w:pPr>
            <w:r>
              <w:rPr>
                <w:rFonts w:ascii="Times New Roman" w:hAnsi="Times New Roman" w:eastAsia="仿宋_GB2312" w:cs="Times New Roman"/>
                <w:b/>
                <w:bCs/>
                <w:color w:val="000000" w:themeColor="text1"/>
                <w:sz w:val="24"/>
              </w:rPr>
              <w:t>评价总得分</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fldChar w:fldCharType="begin"/>
            </w:r>
            <w:r>
              <w:rPr>
                <w:rFonts w:ascii="Times New Roman" w:hAnsi="Times New Roman" w:eastAsia="仿宋_GB2312" w:cs="Times New Roman"/>
                <w:b/>
                <w:bCs/>
                <w:color w:val="000000" w:themeColor="text1"/>
                <w:sz w:val="24"/>
              </w:rPr>
              <w:instrText xml:space="preserve"> =sum(below) </w:instrText>
            </w:r>
            <w:r>
              <w:rPr>
                <w:rFonts w:ascii="Times New Roman" w:hAnsi="Times New Roman" w:eastAsia="仿宋_GB2312" w:cs="Times New Roman"/>
                <w:b/>
                <w:bCs/>
                <w:color w:val="000000" w:themeColor="text1"/>
                <w:sz w:val="24"/>
              </w:rPr>
              <w:fldChar w:fldCharType="separate"/>
            </w:r>
            <w:r>
              <w:rPr>
                <w:rFonts w:ascii="Times New Roman" w:hAnsi="Times New Roman" w:eastAsia="仿宋_GB2312" w:cs="Times New Roman"/>
                <w:b/>
                <w:bCs/>
                <w:color w:val="000000" w:themeColor="text1"/>
                <w:sz w:val="24"/>
              </w:rPr>
              <w:t>100</w:t>
            </w:r>
            <w:r>
              <w:rPr>
                <w:rFonts w:ascii="Times New Roman" w:hAnsi="Times New Roman" w:eastAsia="仿宋_GB2312" w:cs="Times New Roman"/>
                <w:b/>
                <w:bCs/>
                <w:color w:val="000000" w:themeColor="text1"/>
                <w:sz w:val="24"/>
              </w:rPr>
              <w:fldChar w:fldCharType="end"/>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fldChar w:fldCharType="begin"/>
            </w:r>
            <w:r>
              <w:rPr>
                <w:rFonts w:ascii="Times New Roman" w:hAnsi="Times New Roman" w:eastAsia="仿宋_GB2312" w:cs="Times New Roman"/>
                <w:b/>
                <w:bCs/>
                <w:color w:val="000000" w:themeColor="text1"/>
                <w:sz w:val="24"/>
              </w:rPr>
              <w:instrText xml:space="preserve"> =SUM(below) </w:instrText>
            </w:r>
            <w:r>
              <w:rPr>
                <w:rFonts w:ascii="Times New Roman" w:hAnsi="Times New Roman" w:eastAsia="仿宋_GB2312" w:cs="Times New Roman"/>
                <w:b/>
                <w:bCs/>
                <w:color w:val="000000" w:themeColor="text1"/>
                <w:sz w:val="24"/>
              </w:rPr>
              <w:fldChar w:fldCharType="separate"/>
            </w:r>
            <w:r>
              <w:rPr>
                <w:rFonts w:ascii="Times New Roman" w:hAnsi="Times New Roman" w:eastAsia="仿宋_GB2312" w:cs="Times New Roman"/>
                <w:b/>
                <w:bCs/>
                <w:color w:val="000000" w:themeColor="text1"/>
                <w:sz w:val="24"/>
              </w:rPr>
              <w:t>84.2</w:t>
            </w:r>
            <w:r>
              <w:rPr>
                <w:rFonts w:ascii="Times New Roman" w:hAnsi="Times New Roman" w:eastAsia="仿宋_GB2312" w:cs="Times New Roman"/>
                <w:b/>
                <w:bCs/>
                <w:color w:val="000000" w:themeColor="text1"/>
                <w:sz w:val="24"/>
              </w:rPr>
              <w:fldChar w:fldCharType="end"/>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b/>
                <w:bCs/>
                <w:color w:val="000000" w:themeColor="text1"/>
                <w:sz w:val="24"/>
              </w:rPr>
            </w:pPr>
            <w:r>
              <w:rPr>
                <w:rFonts w:hint="eastAsia" w:ascii="Times New Roman" w:hAnsi="Times New Roman" w:eastAsia="仿宋_GB2312" w:cs="Times New Roman"/>
                <w:b/>
                <w:bCs/>
                <w:color w:val="000000" w:themeColor="text1"/>
                <w:sz w:val="24"/>
              </w:rPr>
              <w:t>84.20</w:t>
            </w:r>
            <w:r>
              <w:rPr>
                <w:rFonts w:ascii="Times New Roman" w:hAnsi="Times New Roman" w:eastAsia="仿宋_GB2312" w:cs="Times New Roman"/>
                <w:b/>
                <w:bCs/>
                <w:color w:val="000000" w:themeColor="text1"/>
                <w:sz w:val="24"/>
              </w:rPr>
              <w:t>%</w:t>
            </w:r>
          </w:p>
        </w:tc>
      </w:tr>
      <w:tr>
        <w:tblPrEx>
          <w:tblCellMar>
            <w:top w:w="0" w:type="dxa"/>
            <w:left w:w="0" w:type="dxa"/>
            <w:bottom w:w="0" w:type="dxa"/>
            <w:right w:w="0" w:type="dxa"/>
          </w:tblCellMar>
        </w:tblPrEx>
        <w:trPr>
          <w:trHeight w:val="377" w:hRule="atLeast"/>
          <w:tblHeader/>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一、</w:t>
            </w:r>
            <w:r>
              <w:rPr>
                <w:rFonts w:ascii="Times New Roman" w:hAnsi="Times New Roman" w:eastAsia="仿宋_GB2312" w:cs="Times New Roman"/>
                <w:color w:val="000000" w:themeColor="text1"/>
                <w:sz w:val="24"/>
              </w:rPr>
              <w:t>投入</w:t>
            </w:r>
            <w:r>
              <w:rPr>
                <w:rFonts w:hint="eastAsia" w:ascii="Times New Roman" w:hAnsi="Times New Roman" w:eastAsia="仿宋_GB2312" w:cs="Times New Roman"/>
                <w:color w:val="000000" w:themeColor="text1"/>
                <w:sz w:val="24"/>
              </w:rPr>
              <w:t>指标</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3.6</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9</w:t>
            </w:r>
            <w:r>
              <w:rPr>
                <w:rFonts w:ascii="Times New Roman" w:hAnsi="Times New Roman" w:eastAsia="仿宋_GB2312" w:cs="Times New Roman"/>
                <w:color w:val="000000" w:themeColor="text1"/>
                <w:sz w:val="24"/>
              </w:rPr>
              <w:t>0</w:t>
            </w:r>
            <w:r>
              <w:rPr>
                <w:rFonts w:hint="eastAsia" w:ascii="Times New Roman" w:hAnsi="Times New Roman" w:eastAsia="仿宋_GB2312" w:cs="Times New Roman"/>
                <w:color w:val="000000" w:themeColor="text1"/>
                <w:sz w:val="24"/>
              </w:rPr>
              <w:t>.00</w:t>
            </w:r>
            <w:r>
              <w:rPr>
                <w:rFonts w:ascii="Times New Roman" w:hAnsi="Times New Roman" w:eastAsia="仿宋_GB2312" w:cs="Times New Roman"/>
                <w:color w:val="000000" w:themeColor="text1"/>
                <w:sz w:val="24"/>
              </w:rPr>
              <w:t>%</w:t>
            </w:r>
          </w:p>
        </w:tc>
      </w:tr>
      <w:tr>
        <w:tblPrEx>
          <w:tblCellMar>
            <w:top w:w="0" w:type="dxa"/>
            <w:left w:w="0" w:type="dxa"/>
            <w:bottom w:w="0" w:type="dxa"/>
            <w:right w:w="0" w:type="dxa"/>
          </w:tblCellMar>
        </w:tblPrEx>
        <w:trPr>
          <w:trHeight w:val="380" w:hRule="atLeast"/>
          <w:tblHeader/>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二、</w:t>
            </w:r>
            <w:r>
              <w:rPr>
                <w:rFonts w:ascii="Times New Roman" w:hAnsi="Times New Roman" w:eastAsia="仿宋_GB2312" w:cs="Times New Roman"/>
                <w:color w:val="000000" w:themeColor="text1"/>
                <w:sz w:val="24"/>
              </w:rPr>
              <w:t>过程</w:t>
            </w:r>
            <w:r>
              <w:rPr>
                <w:rFonts w:hint="eastAsia" w:ascii="Times New Roman" w:hAnsi="Times New Roman" w:eastAsia="仿宋_GB2312" w:cs="Times New Roman"/>
                <w:color w:val="000000" w:themeColor="text1"/>
                <w:sz w:val="24"/>
              </w:rPr>
              <w:t>指标</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34</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25.6</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75.29</w:t>
            </w:r>
            <w:r>
              <w:rPr>
                <w:rFonts w:ascii="Times New Roman" w:hAnsi="Times New Roman" w:eastAsia="仿宋_GB2312" w:cs="Times New Roman"/>
                <w:color w:val="000000" w:themeColor="text1"/>
                <w:sz w:val="24"/>
              </w:rPr>
              <w:t>%</w:t>
            </w:r>
          </w:p>
        </w:tc>
      </w:tr>
      <w:tr>
        <w:tblPrEx>
          <w:tblCellMar>
            <w:top w:w="0" w:type="dxa"/>
            <w:left w:w="0" w:type="dxa"/>
            <w:bottom w:w="0" w:type="dxa"/>
            <w:right w:w="0" w:type="dxa"/>
          </w:tblCellMar>
        </w:tblPrEx>
        <w:trPr>
          <w:trHeight w:val="332" w:hRule="atLeast"/>
          <w:tblHeader/>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三、</w:t>
            </w:r>
            <w:r>
              <w:rPr>
                <w:rFonts w:ascii="Times New Roman" w:hAnsi="Times New Roman" w:eastAsia="仿宋_GB2312" w:cs="Times New Roman"/>
                <w:color w:val="000000" w:themeColor="text1"/>
                <w:sz w:val="24"/>
              </w:rPr>
              <w:t>产出</w:t>
            </w:r>
            <w:r>
              <w:rPr>
                <w:rFonts w:hint="eastAsia" w:ascii="Times New Roman" w:hAnsi="Times New Roman" w:eastAsia="仿宋_GB2312" w:cs="Times New Roman"/>
                <w:color w:val="000000" w:themeColor="text1"/>
                <w:sz w:val="24"/>
              </w:rPr>
              <w:t>指标</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w:t>
            </w:r>
            <w:r>
              <w:rPr>
                <w:rFonts w:hint="eastAsia" w:ascii="Times New Roman" w:hAnsi="Times New Roman" w:eastAsia="仿宋_GB2312" w:cs="Times New Roman"/>
                <w:color w:val="000000" w:themeColor="text1"/>
                <w:sz w:val="24"/>
              </w:rPr>
              <w:t>2</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32</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100</w:t>
            </w:r>
            <w:r>
              <w:rPr>
                <w:rFonts w:ascii="Times New Roman" w:hAnsi="Times New Roman" w:eastAsia="仿宋_GB2312" w:cs="Times New Roman"/>
                <w:color w:val="000000" w:themeColor="text1"/>
                <w:sz w:val="24"/>
              </w:rPr>
              <w:t>%</w:t>
            </w:r>
          </w:p>
        </w:tc>
      </w:tr>
      <w:tr>
        <w:tblPrEx>
          <w:tblCellMar>
            <w:top w:w="0" w:type="dxa"/>
            <w:left w:w="0" w:type="dxa"/>
            <w:bottom w:w="0" w:type="dxa"/>
            <w:right w:w="0" w:type="dxa"/>
          </w:tblCellMar>
        </w:tblPrEx>
        <w:trPr>
          <w:trHeight w:val="90" w:hRule="atLeast"/>
          <w:tblHeader/>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Times New Roman" w:hAnsi="Times New Roman" w:eastAsia="仿宋_GB2312" w:cs="Times New Roman"/>
                <w:b/>
                <w:bCs/>
                <w:color w:val="000000" w:themeColor="text1"/>
                <w:sz w:val="24"/>
              </w:rPr>
            </w:pPr>
            <w:r>
              <w:rPr>
                <w:rFonts w:hint="eastAsia" w:ascii="Times New Roman" w:hAnsi="Times New Roman" w:eastAsia="仿宋_GB2312" w:cs="Times New Roman"/>
                <w:color w:val="000000" w:themeColor="text1"/>
                <w:sz w:val="24"/>
              </w:rPr>
              <w:t>四、</w:t>
            </w:r>
            <w:r>
              <w:rPr>
                <w:rFonts w:ascii="Times New Roman" w:hAnsi="Times New Roman" w:eastAsia="仿宋_GB2312" w:cs="Times New Roman"/>
                <w:color w:val="000000" w:themeColor="text1"/>
                <w:sz w:val="24"/>
              </w:rPr>
              <w:t>效益</w:t>
            </w:r>
            <w:r>
              <w:rPr>
                <w:rFonts w:hint="eastAsia" w:ascii="Times New Roman" w:hAnsi="Times New Roman" w:eastAsia="仿宋_GB2312" w:cs="Times New Roman"/>
                <w:color w:val="000000" w:themeColor="text1"/>
                <w:sz w:val="24"/>
              </w:rPr>
              <w:t>指标</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30</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28</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93.33</w:t>
            </w:r>
            <w:r>
              <w:rPr>
                <w:rFonts w:ascii="Times New Roman" w:hAnsi="Times New Roman" w:eastAsia="仿宋_GB2312" w:cs="Times New Roman"/>
                <w:color w:val="000000" w:themeColor="text1"/>
                <w:sz w:val="24"/>
              </w:rPr>
              <w:t>%</w:t>
            </w:r>
          </w:p>
        </w:tc>
      </w:tr>
      <w:tr>
        <w:tblPrEx>
          <w:tblCellMar>
            <w:top w:w="0" w:type="dxa"/>
            <w:left w:w="0" w:type="dxa"/>
            <w:bottom w:w="0" w:type="dxa"/>
            <w:right w:w="0" w:type="dxa"/>
          </w:tblCellMar>
        </w:tblPrEx>
        <w:trPr>
          <w:trHeight w:val="222" w:hRule="atLeast"/>
          <w:tblHeader/>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五、加减分指标</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w:t>
            </w:r>
            <w:r>
              <w:rPr>
                <w:rFonts w:ascii="Times New Roman" w:hAnsi="Times New Roman" w:eastAsia="仿宋_GB2312" w:cs="Times New Roman"/>
                <w:color w:val="000000" w:themeColor="text1"/>
                <w:sz w:val="24"/>
              </w:rPr>
              <w:t>3</w:t>
            </w:r>
            <w:r>
              <w:rPr>
                <w:rFonts w:hint="eastAsia" w:ascii="Times New Roman" w:hAnsi="Times New Roman" w:eastAsia="仿宋_GB2312" w:cs="Times New Roman"/>
                <w:color w:val="000000" w:themeColor="text1"/>
                <w:sz w:val="24"/>
              </w:rPr>
              <w:t>/</w:t>
            </w:r>
            <w:r>
              <w:rPr>
                <w:rFonts w:ascii="Times New Roman" w:hAnsi="Times New Roman" w:eastAsia="仿宋_GB2312" w:cs="Times New Roman"/>
                <w:color w:val="000000" w:themeColor="text1"/>
                <w:sz w:val="24"/>
              </w:rPr>
              <w:t>-1</w:t>
            </w:r>
            <w:r>
              <w:rPr>
                <w:rFonts w:hint="eastAsia" w:ascii="Times New Roman" w:hAnsi="Times New Roman" w:eastAsia="仿宋_GB2312" w:cs="Times New Roman"/>
                <w:color w:val="000000" w:themeColor="text1"/>
                <w:sz w:val="24"/>
              </w:rPr>
              <w:t>0</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33.33%</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9</w:t>
      </w:r>
      <w:r>
        <w:rPr>
          <w:rFonts w:ascii="Times New Roman" w:hAnsi="Times New Roman" w:eastAsia="仿宋_GB2312" w:cs="Times New Roman"/>
          <w:color w:val="000000" w:themeColor="text1"/>
          <w:sz w:val="32"/>
          <w:szCs w:val="32"/>
        </w:rPr>
        <w:t>个</w:t>
      </w:r>
      <w:r>
        <w:rPr>
          <w:rFonts w:hint="eastAsia" w:ascii="Times New Roman" w:hAnsi="Times New Roman" w:eastAsia="仿宋_GB2312" w:cs="Times New Roman"/>
          <w:color w:val="000000" w:themeColor="text1"/>
          <w:sz w:val="32"/>
          <w:szCs w:val="32"/>
        </w:rPr>
        <w:t>三</w:t>
      </w:r>
      <w:r>
        <w:rPr>
          <w:rFonts w:ascii="Times New Roman" w:hAnsi="Times New Roman" w:eastAsia="仿宋_GB2312" w:cs="Times New Roman"/>
          <w:color w:val="000000" w:themeColor="text1"/>
          <w:sz w:val="32"/>
          <w:szCs w:val="32"/>
        </w:rPr>
        <w:t>级指标中，得分率较高的主要集中在</w:t>
      </w:r>
      <w:r>
        <w:rPr>
          <w:rFonts w:hint="eastAsia" w:ascii="Times New Roman" w:hAnsi="Times New Roman" w:eastAsia="仿宋_GB2312" w:cs="Times New Roman"/>
          <w:color w:val="000000" w:themeColor="text1"/>
          <w:sz w:val="32"/>
          <w:szCs w:val="32"/>
        </w:rPr>
        <w:t>直接产出分经济效益和社会效益指标</w:t>
      </w:r>
      <w:r>
        <w:rPr>
          <w:rFonts w:ascii="Times New Roman" w:hAnsi="Times New Roman" w:eastAsia="仿宋_GB2312" w:cs="Times New Roman"/>
          <w:color w:val="000000" w:themeColor="text1"/>
          <w:sz w:val="32"/>
          <w:szCs w:val="32"/>
        </w:rPr>
        <w:t>，得分率</w:t>
      </w:r>
      <w:r>
        <w:rPr>
          <w:rFonts w:hint="eastAsia" w:ascii="Times New Roman" w:hAnsi="Times New Roman" w:eastAsia="仿宋_GB2312" w:cs="Times New Roman"/>
          <w:color w:val="000000" w:themeColor="text1"/>
          <w:sz w:val="32"/>
          <w:szCs w:val="32"/>
        </w:rPr>
        <w:t>大多为</w:t>
      </w:r>
      <w:r>
        <w:rPr>
          <w:rFonts w:ascii="Times New Roman" w:hAnsi="Times New Roman" w:eastAsia="仿宋_GB2312" w:cs="Times New Roman"/>
          <w:color w:val="000000" w:themeColor="text1"/>
          <w:sz w:val="32"/>
          <w:szCs w:val="32"/>
        </w:rPr>
        <w:t>100%，而</w:t>
      </w:r>
      <w:r>
        <w:rPr>
          <w:rFonts w:hint="eastAsia" w:ascii="Times New Roman" w:hAnsi="Times New Roman" w:eastAsia="仿宋_GB2312" w:cs="Times New Roman"/>
          <w:color w:val="000000" w:themeColor="text1"/>
          <w:sz w:val="32"/>
          <w:szCs w:val="32"/>
        </w:rPr>
        <w:t>资金支出及管理过程及部分效益</w:t>
      </w:r>
      <w:r>
        <w:rPr>
          <w:rFonts w:ascii="Times New Roman" w:hAnsi="Times New Roman" w:eastAsia="仿宋_GB2312" w:cs="Times New Roman"/>
          <w:color w:val="000000" w:themeColor="text1"/>
          <w:sz w:val="32"/>
          <w:szCs w:val="32"/>
        </w:rPr>
        <w:t>指标得分率相对较低。</w:t>
      </w:r>
      <w:bookmarkStart w:id="15" w:name="_Toc17549"/>
      <w:bookmarkStart w:id="16" w:name="_Toc2124"/>
    </w:p>
    <w:bookmarkEnd w:id="15"/>
    <w:bookmarkEnd w:id="16"/>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outlineLvl w:val="0"/>
        <w:rPr>
          <w:rFonts w:ascii="Times New Roman" w:hAnsi="Times New Roman" w:eastAsia="黑体" w:cs="Times New Roman"/>
          <w:b/>
          <w:bCs/>
          <w:sz w:val="32"/>
          <w:szCs w:val="32"/>
        </w:rPr>
      </w:pPr>
      <w:bookmarkStart w:id="17" w:name="_Toc13332"/>
      <w:bookmarkStart w:id="18" w:name="_Toc12664"/>
      <w:r>
        <w:rPr>
          <w:rFonts w:ascii="Times New Roman" w:hAnsi="Times New Roman" w:eastAsia="黑体" w:cs="Times New Roman"/>
          <w:b/>
          <w:bCs/>
          <w:sz w:val="32"/>
          <w:szCs w:val="32"/>
        </w:rPr>
        <w:t>主要绩效</w:t>
      </w:r>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汕头港项目资金</w:t>
      </w:r>
      <w:r>
        <w:rPr>
          <w:rFonts w:ascii="Times New Roman" w:hAnsi="Times New Roman" w:eastAsia="仿宋_GB2312" w:cs="Times New Roman"/>
          <w:color w:val="000000" w:themeColor="text1"/>
          <w:sz w:val="32"/>
          <w:szCs w:val="32"/>
        </w:rPr>
        <w:t>产生了较好的</w:t>
      </w:r>
      <w:r>
        <w:rPr>
          <w:rFonts w:hint="eastAsia" w:ascii="Times New Roman" w:hAnsi="Times New Roman" w:eastAsia="仿宋_GB2312" w:cs="Times New Roman"/>
          <w:color w:val="000000" w:themeColor="text1"/>
          <w:sz w:val="32"/>
          <w:szCs w:val="32"/>
        </w:rPr>
        <w:t>经济效益和</w:t>
      </w:r>
      <w:r>
        <w:rPr>
          <w:rFonts w:ascii="Times New Roman" w:hAnsi="Times New Roman" w:eastAsia="仿宋_GB2312" w:cs="Times New Roman"/>
          <w:color w:val="000000" w:themeColor="text1"/>
          <w:sz w:val="32"/>
          <w:szCs w:val="32"/>
        </w:rPr>
        <w:t>社会效益，主要绩效表现体现在以下几个方面：</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Lines="0" w:afterLines="0" w:line="560" w:lineRule="exact"/>
        <w:ind w:left="0" w:firstLineChars="0"/>
        <w:textAlignment w:val="auto"/>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调整广澳港区集装箱扶持政策，应对新冠疫情</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textAlignment w:val="auto"/>
        <w:rPr>
          <w:rFonts w:ascii="Times New Roman" w:hAnsi="Times New Roman" w:eastAsia="仿宋_GB2312" w:cs="Times New Roman"/>
          <w:color w:val="000000" w:themeColor="text1"/>
          <w:kern w:val="2"/>
          <w:sz w:val="32"/>
          <w:szCs w:val="32"/>
          <w:lang w:val="zh-CN"/>
        </w:rPr>
      </w:pPr>
      <w:r>
        <w:rPr>
          <w:rFonts w:hint="eastAsia" w:ascii="Times New Roman" w:hAnsi="Times New Roman" w:eastAsia="仿宋_GB2312" w:cs="Times New Roman"/>
          <w:color w:val="000000" w:themeColor="text1"/>
          <w:kern w:val="2"/>
          <w:sz w:val="32"/>
          <w:szCs w:val="32"/>
          <w:lang w:val="zh-CN"/>
        </w:rPr>
        <w:t>印发《汕头市交通运输局 汕头市商务局关于统筹做好常态化疫情防控工作优化调整广澳港集装箱扶持政策的通知》（汕交水便函【2020】181号）、《关于应对新冠肺炎疫情支持港航物流企业复产若干措施的通知》、《汕头市交通运输局关于支持汕头港广澳港区发展的若干措施的解释》、关于对《汕头市交通运输局关于支持汕头港广澳港区发展的若干措施的解释》有关条款进行调整的公告等相关制度明确了目标任务，工作措施与职责分工，为扶持汕头港集装箱运输补助项目实现绩效目标打好制度基础。</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themeColor="text1"/>
          <w:sz w:val="32"/>
          <w:szCs w:val="32"/>
        </w:rPr>
      </w:pPr>
      <w:bookmarkStart w:id="19" w:name="_Toc29375"/>
      <w:bookmarkStart w:id="20" w:name="_Toc30439"/>
      <w:bookmarkStart w:id="21" w:name="_Toc23784"/>
      <w:r>
        <w:rPr>
          <w:rFonts w:hint="eastAsia" w:ascii="仿宋" w:hAnsi="仿宋" w:eastAsia="仿宋" w:cs="仿宋"/>
          <w:b/>
          <w:bCs/>
          <w:color w:val="000000" w:themeColor="text1"/>
          <w:sz w:val="32"/>
          <w:szCs w:val="32"/>
        </w:rPr>
        <w:t>（二）港口生产增长成效显著</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ascii="Times New Roman" w:hAnsi="Times New Roman" w:eastAsia="仿宋_GB2312" w:cs="Times New Roman"/>
          <w:color w:val="000000" w:themeColor="text1"/>
          <w:sz w:val="32"/>
          <w:szCs w:val="32"/>
        </w:rPr>
      </w:pPr>
      <w:bookmarkStart w:id="22" w:name="_Toc27397"/>
      <w:bookmarkStart w:id="23" w:name="_Toc2672"/>
      <w:bookmarkStart w:id="24" w:name="_Toc16237"/>
      <w:r>
        <w:rPr>
          <w:rFonts w:hint="eastAsia" w:ascii="Times New Roman" w:hAnsi="Times New Roman" w:eastAsia="仿宋_GB2312" w:cs="Times New Roman"/>
          <w:color w:val="000000" w:themeColor="text1"/>
          <w:sz w:val="32"/>
          <w:szCs w:val="32"/>
        </w:rPr>
        <w:t>《若干措施》出台后，汕头港在吞吐量、新增航线、航次保持和加密、内贸中转集装箱业务以及公共驳运支线业务方面均有较大增长，2020年汕头港完成集装箱吞吐量159.38万标箱，比增18%，其中广澳港区完成87.56万标箱，比增119.6%。全港集装箱增幅分别高于全国沿海（1.5%）、全省（1.1%）16.5和16.9个百分点，增幅列全省第一；2020年新增航线2条；内贸中转集装箱业务增长</w:t>
      </w:r>
      <w:r>
        <w:rPr>
          <w:rFonts w:ascii="Times New Roman" w:hAnsi="Times New Roman" w:eastAsia="仿宋_GB2312" w:cs="Times New Roman"/>
          <w:color w:val="000000" w:themeColor="text1"/>
          <w:sz w:val="32"/>
          <w:szCs w:val="32"/>
        </w:rPr>
        <w:t>119%</w:t>
      </w:r>
      <w:r>
        <w:rPr>
          <w:rFonts w:hint="eastAsia" w:ascii="Times New Roman" w:hAnsi="Times New Roman" w:eastAsia="仿宋_GB2312" w:cs="Times New Roman"/>
          <w:color w:val="000000" w:themeColor="text1"/>
          <w:sz w:val="32"/>
          <w:szCs w:val="32"/>
        </w:rPr>
        <w:t>；公共驳运支线新增4条等等。</w:t>
      </w:r>
    </w:p>
    <w:bookmarkEnd w:id="22"/>
    <w:bookmarkEnd w:id="23"/>
    <w:bookmarkEnd w:id="24"/>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（三）疫情下复工率增长</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textAlignment w:val="auto"/>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color w:val="000000" w:themeColor="text1"/>
          <w:kern w:val="2"/>
          <w:sz w:val="32"/>
          <w:szCs w:val="32"/>
        </w:rPr>
        <w:t>2020年初的新冠疫情严重冲击了港口的生产经营，汕头港项目资金中的集装箱拖车司机复工补贴则有效提高了复工率，据统计，截止2020年底，各集装箱拖车企业已复工司机781人，与上年底的927人对比，复工84%，而年初仅为30%。</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themeColor="text1"/>
          <w:sz w:val="32"/>
          <w:szCs w:val="32"/>
        </w:rPr>
      </w:pPr>
      <w:bookmarkStart w:id="25" w:name="_Toc22030"/>
      <w:bookmarkStart w:id="26" w:name="_Toc4436"/>
      <w:bookmarkStart w:id="27" w:name="_Toc8975"/>
      <w:r>
        <w:rPr>
          <w:rFonts w:hint="eastAsia" w:ascii="Times New Roman" w:hAnsi="Times New Roman" w:eastAsia="仿宋_GB2312" w:cs="Times New Roman"/>
          <w:b/>
          <w:color w:val="000000" w:themeColor="text1"/>
          <w:sz w:val="32"/>
          <w:szCs w:val="32"/>
        </w:rPr>
        <w:t>（四）</w:t>
      </w:r>
      <w:r>
        <w:rPr>
          <w:rFonts w:hint="eastAsia" w:ascii="仿宋" w:hAnsi="仿宋" w:eastAsia="仿宋" w:cs="仿宋"/>
          <w:b/>
          <w:bCs/>
          <w:color w:val="000000" w:themeColor="text1"/>
          <w:sz w:val="32"/>
          <w:szCs w:val="32"/>
        </w:rPr>
        <w:t>增开航线，吸引航船靠港</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ascii="Times New Roman" w:hAnsi="Times New Roman" w:eastAsia="仿宋_GB2312" w:cs="Times New Roman"/>
          <w:color w:val="000000" w:themeColor="text1"/>
          <w:sz w:val="32"/>
          <w:szCs w:val="32"/>
          <w:lang w:val="zh-CN"/>
        </w:rPr>
      </w:pPr>
      <w:bookmarkStart w:id="28" w:name="_Toc12280"/>
      <w:bookmarkStart w:id="29" w:name="_Toc26289"/>
      <w:bookmarkStart w:id="30" w:name="_Toc14727"/>
      <w:r>
        <w:rPr>
          <w:rFonts w:hint="eastAsia" w:ascii="Times New Roman" w:hAnsi="Times New Roman" w:eastAsia="仿宋_GB2312" w:cs="Times New Roman"/>
          <w:color w:val="000000" w:themeColor="text1"/>
          <w:sz w:val="32"/>
          <w:szCs w:val="32"/>
          <w:lang w:val="zh-CN"/>
        </w:rPr>
        <w:t>汕头港项目资金投入后，截止2020年底，新增航线2条，吸引了4家航线经营人在国际近洋集装箱班轮航线航行，累计航次保持457次，加密100次，吸引集装箱中转105252TEU，开通驳运支线4条，取得了较好的经济效益和社会效益，提升了作为粤东港口唯一核心港区的地位。</w:t>
      </w:r>
    </w:p>
    <w:bookmarkEnd w:id="28"/>
    <w:bookmarkEnd w:id="29"/>
    <w:bookmarkEnd w:id="30"/>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outlineLvl w:val="0"/>
        <w:rPr>
          <w:rFonts w:ascii="Times New Roman" w:hAnsi="Times New Roman" w:eastAsia="黑体" w:cs="Times New Roman"/>
          <w:b/>
          <w:bCs/>
          <w:sz w:val="32"/>
          <w:szCs w:val="32"/>
        </w:rPr>
      </w:pPr>
      <w:bookmarkStart w:id="31" w:name="_Toc15593"/>
      <w:bookmarkStart w:id="32" w:name="_Toc29214"/>
      <w:bookmarkStart w:id="33" w:name="_Hlk57797107"/>
      <w:r>
        <w:rPr>
          <w:rFonts w:ascii="Times New Roman" w:hAnsi="Times New Roman" w:eastAsia="黑体" w:cs="Times New Roman"/>
          <w:b/>
          <w:bCs/>
          <w:sz w:val="32"/>
          <w:szCs w:val="32"/>
        </w:rPr>
        <w:t>存在问题</w:t>
      </w:r>
      <w:bookmarkEnd w:id="31"/>
      <w:bookmarkEnd w:id="32"/>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themeColor="text1"/>
          <w:sz w:val="32"/>
          <w:szCs w:val="32"/>
        </w:rPr>
      </w:pPr>
      <w:bookmarkStart w:id="34" w:name="_Toc9872"/>
      <w:bookmarkStart w:id="35" w:name="_Hlk57823705"/>
      <w:r>
        <w:rPr>
          <w:rFonts w:hint="eastAsia" w:ascii="仿宋" w:hAnsi="仿宋" w:eastAsia="仿宋" w:cs="仿宋"/>
          <w:b/>
          <w:bCs/>
          <w:color w:val="000000" w:themeColor="text1"/>
          <w:sz w:val="32"/>
          <w:szCs w:val="32"/>
        </w:rPr>
        <w:t>资金管理存在的问题</w:t>
      </w:r>
      <w:bookmarkEnd w:id="34"/>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本次评价汕头市交通运输局未能提供专项补助资金下拨后，受补贴船公司或货运公司资金使用台账或其他相关资料。</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未按预算金额下达资金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根据“汕市财预〔2020〕2号”文件，汕头港项目预算资金安排3500万元，截止2021年3月31日财政实际拨付资金3192.145万元，占比91.20%。</w:t>
      </w:r>
    </w:p>
    <w:bookmarkEnd w:id="33"/>
    <w:bookmarkEnd w:id="35"/>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themeColor="text1"/>
          <w:sz w:val="32"/>
          <w:szCs w:val="32"/>
        </w:rPr>
      </w:pPr>
      <w:bookmarkStart w:id="36" w:name="_Toc16562"/>
      <w:bookmarkStart w:id="37" w:name="_Toc31647"/>
      <w:bookmarkStart w:id="38" w:name="_Toc3897"/>
      <w:bookmarkStart w:id="39" w:name="_Toc28391"/>
      <w:bookmarkStart w:id="40" w:name="_Toc30244"/>
      <w:bookmarkStart w:id="41" w:name="_Toc19912"/>
      <w:bookmarkStart w:id="42" w:name="_Toc6854"/>
      <w:bookmarkStart w:id="43" w:name="_Toc31928"/>
      <w:r>
        <w:rPr>
          <w:rFonts w:hint="eastAsia" w:ascii="仿宋" w:hAnsi="仿宋" w:eastAsia="仿宋" w:cs="仿宋"/>
          <w:b/>
          <w:bCs/>
          <w:color w:val="000000" w:themeColor="text1"/>
          <w:sz w:val="32"/>
          <w:szCs w:val="32"/>
        </w:rPr>
        <w:t>个别补贴因资料错漏未及时支出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2020年12月“汕市财综〔2020〕118号”文件下达的第五批资金其中中转箱补助资金526.265万元因申请企业资料提交有误未能按时下达发放，直至2021年9月7日，才下拨至申请企业。</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color w:val="000000" w:themeColor="text1"/>
          <w:sz w:val="32"/>
          <w:szCs w:val="32"/>
        </w:rPr>
      </w:pPr>
      <w:r>
        <w:rPr>
          <w:rFonts w:hint="eastAsia" w:ascii="Times New Roman" w:hAnsi="Times New Roman" w:eastAsia="仿宋_GB2312" w:cs="Times New Roman"/>
          <w:b/>
          <w:color w:val="000000" w:themeColor="text1"/>
          <w:sz w:val="32"/>
          <w:szCs w:val="32"/>
        </w:rPr>
        <w:t>（四）个别补贴期限与申请期限不一致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汕头招商局港口集团有限公司2020年11月申请的汕头港公共驳运支线专项补助启动资金300万元，系用于补贴航运企业在2020年12月之前在支线的航行成本，但本次我们检查时发现其中支付给汕头市通海泰平有限公司85万元为2021年1-2月的航行费用。截止本次外勤结束日，此项资金仍有4.7万元未发放至航运企业。</w:t>
      </w:r>
    </w:p>
    <w:bookmarkEnd w:id="36"/>
    <w:bookmarkEnd w:id="37"/>
    <w:bookmarkEnd w:id="38"/>
    <w:bookmarkEnd w:id="39"/>
    <w:bookmarkEnd w:id="40"/>
    <w:bookmarkEnd w:id="41"/>
    <w:bookmarkEnd w:id="42"/>
    <w:bookmarkEnd w:id="43"/>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outlineLvl w:val="0"/>
        <w:rPr>
          <w:rFonts w:ascii="Times New Roman" w:hAnsi="Times New Roman" w:eastAsia="黑体" w:cs="Times New Roman"/>
          <w:b/>
          <w:bCs/>
          <w:sz w:val="32"/>
          <w:szCs w:val="32"/>
        </w:rPr>
      </w:pPr>
      <w:bookmarkStart w:id="44" w:name="_Toc20893"/>
      <w:bookmarkStart w:id="45" w:name="_Toc25544"/>
      <w:r>
        <w:rPr>
          <w:rFonts w:ascii="Times New Roman" w:hAnsi="Times New Roman" w:eastAsia="黑体" w:cs="Times New Roman"/>
          <w:b/>
          <w:bCs/>
          <w:sz w:val="32"/>
          <w:szCs w:val="32"/>
        </w:rPr>
        <w:t>相关建议</w:t>
      </w:r>
      <w:bookmarkEnd w:id="44"/>
      <w:bookmarkEnd w:id="45"/>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及时有效跟踪补助资金使用方向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rPr>
      </w:pPr>
      <w:bookmarkStart w:id="46" w:name="_Toc30913"/>
      <w:r>
        <w:rPr>
          <w:rFonts w:hint="eastAsia" w:ascii="Times New Roman" w:hAnsi="Times New Roman" w:eastAsia="仿宋_GB2312" w:cs="Times New Roman"/>
          <w:color w:val="000000" w:themeColor="text1"/>
          <w:sz w:val="32"/>
          <w:szCs w:val="32"/>
        </w:rPr>
        <w:t>汕头港项目资金最终系拨至航运企业，各级预算单位应在资金下拨后及时跟进，了解航运企业使用情况，避免专项资金被挪用，确保资金用于规定用途，提高资金使用效率。</w:t>
      </w:r>
    </w:p>
    <w:bookmarkEnd w:id="46"/>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申报资料审核更专业化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rPr>
      </w:pPr>
      <w:bookmarkStart w:id="47" w:name="_Toc27658"/>
      <w:r>
        <w:rPr>
          <w:rFonts w:hint="eastAsia" w:ascii="Times New Roman" w:hAnsi="Times New Roman" w:eastAsia="仿宋_GB2312" w:cs="Times New Roman"/>
          <w:color w:val="000000" w:themeColor="text1"/>
          <w:sz w:val="32"/>
          <w:szCs w:val="32"/>
        </w:rPr>
        <w:t>本次项目补助资金出现因申报企业资料错漏而发生退回和延迟拨付现象，当工作滞后于效果时，应及时分析原因，纠正不足，确保绩效实现；各级预算单位应组织一支集业务、财务、财政专家于一体的审核队伍，确保资金及时拨付，补助需求的企业，促进港口业务发展。</w:t>
      </w:r>
    </w:p>
    <w:bookmarkEnd w:id="47"/>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3"/>
        <w:textAlignment w:val="auto"/>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六、评价特别说明</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textAlignment w:val="auto"/>
      </w:pPr>
      <w:r>
        <w:rPr>
          <w:rFonts w:hint="eastAsia" w:ascii="Times New Roman" w:hAnsi="Times New Roman" w:eastAsia="仿宋_GB2312" w:cs="Times New Roman"/>
          <w:color w:val="000000" w:themeColor="text1"/>
          <w:sz w:val="32"/>
          <w:szCs w:val="32"/>
        </w:rPr>
        <w:t>本次绩效评价是基于既定基准日及特定条件数据得出的结论，由于汕头港项目仍继续推进，政策延续性产生效果可能与本次评价结论不一致，本次评价结论不应被套用于汕头港项目或其他类似项目未来资金绩效评价。</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6591"/>
      <w:docPartObj>
        <w:docPartGallery w:val="autotext"/>
      </w:docPartObj>
    </w:sdtPr>
    <w:sdtContent>
      <w:p>
        <w:pPr>
          <w:pStyle w:val="9"/>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6881C"/>
    <w:multiLevelType w:val="singleLevel"/>
    <w:tmpl w:val="9786881C"/>
    <w:lvl w:ilvl="0" w:tentative="0">
      <w:start w:val="1"/>
      <w:numFmt w:val="chineseCounting"/>
      <w:suff w:val="nothing"/>
      <w:lvlText w:val="（%1）"/>
      <w:lvlJc w:val="left"/>
      <w:rPr>
        <w:rFonts w:hint="eastAsia"/>
      </w:rPr>
    </w:lvl>
  </w:abstractNum>
  <w:abstractNum w:abstractNumId="1">
    <w:nsid w:val="AC497D60"/>
    <w:multiLevelType w:val="singleLevel"/>
    <w:tmpl w:val="AC497D60"/>
    <w:lvl w:ilvl="0" w:tentative="0">
      <w:start w:val="1"/>
      <w:numFmt w:val="chineseCounting"/>
      <w:suff w:val="nothing"/>
      <w:lvlText w:val="（%1）"/>
      <w:lvlJc w:val="left"/>
      <w:rPr>
        <w:rFonts w:hint="eastAsia"/>
      </w:rPr>
    </w:lvl>
  </w:abstractNum>
  <w:abstractNum w:abstractNumId="2">
    <w:nsid w:val="41F212C4"/>
    <w:multiLevelType w:val="multilevel"/>
    <w:tmpl w:val="41F212C4"/>
    <w:lvl w:ilvl="0" w:tentative="0">
      <w:start w:val="1"/>
      <w:numFmt w:val="japaneseCounting"/>
      <w:lvlText w:val="（%1）"/>
      <w:lvlJc w:val="left"/>
      <w:pPr>
        <w:ind w:left="1648" w:hanging="1005"/>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5D82AA4C"/>
    <w:multiLevelType w:val="singleLevel"/>
    <w:tmpl w:val="5D82AA4C"/>
    <w:lvl w:ilvl="0" w:tentative="0">
      <w:start w:val="1"/>
      <w:numFmt w:val="chineseCounting"/>
      <w:suff w:val="nothing"/>
      <w:lvlText w:val="%1、"/>
      <w:lvlJc w:val="left"/>
      <w:rPr>
        <w:rFonts w:hint="eastAsia"/>
      </w:rPr>
    </w:lvl>
  </w:abstractNum>
  <w:abstractNum w:abstractNumId="4">
    <w:nsid w:val="7C9FCFA7"/>
    <w:multiLevelType w:val="singleLevel"/>
    <w:tmpl w:val="7C9FCFA7"/>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299"/>
    <w:rsid w:val="00011CED"/>
    <w:rsid w:val="000143A9"/>
    <w:rsid w:val="00014835"/>
    <w:rsid w:val="00016A28"/>
    <w:rsid w:val="00016E47"/>
    <w:rsid w:val="00017F98"/>
    <w:rsid w:val="0002055E"/>
    <w:rsid w:val="00020EAA"/>
    <w:rsid w:val="00024D76"/>
    <w:rsid w:val="000355DD"/>
    <w:rsid w:val="00040BF2"/>
    <w:rsid w:val="00045884"/>
    <w:rsid w:val="00046B13"/>
    <w:rsid w:val="00047245"/>
    <w:rsid w:val="00056F14"/>
    <w:rsid w:val="00057A06"/>
    <w:rsid w:val="00063717"/>
    <w:rsid w:val="000662D6"/>
    <w:rsid w:val="00067FF0"/>
    <w:rsid w:val="0007046B"/>
    <w:rsid w:val="00080B47"/>
    <w:rsid w:val="000824DD"/>
    <w:rsid w:val="00085C59"/>
    <w:rsid w:val="00090695"/>
    <w:rsid w:val="00092C3E"/>
    <w:rsid w:val="000933B3"/>
    <w:rsid w:val="000A10D8"/>
    <w:rsid w:val="000A2733"/>
    <w:rsid w:val="000B2D8D"/>
    <w:rsid w:val="000B44CB"/>
    <w:rsid w:val="000B48D9"/>
    <w:rsid w:val="000C04D4"/>
    <w:rsid w:val="000D3C65"/>
    <w:rsid w:val="00100220"/>
    <w:rsid w:val="001024A9"/>
    <w:rsid w:val="001029F1"/>
    <w:rsid w:val="00103529"/>
    <w:rsid w:val="001068E6"/>
    <w:rsid w:val="001161D8"/>
    <w:rsid w:val="00130EA6"/>
    <w:rsid w:val="00131450"/>
    <w:rsid w:val="00133258"/>
    <w:rsid w:val="00135E27"/>
    <w:rsid w:val="00136301"/>
    <w:rsid w:val="00137E41"/>
    <w:rsid w:val="0014209E"/>
    <w:rsid w:val="00143B70"/>
    <w:rsid w:val="0014678B"/>
    <w:rsid w:val="00147B28"/>
    <w:rsid w:val="00150EF5"/>
    <w:rsid w:val="00150F96"/>
    <w:rsid w:val="00154FAA"/>
    <w:rsid w:val="001678FB"/>
    <w:rsid w:val="00172A27"/>
    <w:rsid w:val="001730AD"/>
    <w:rsid w:val="00176DFD"/>
    <w:rsid w:val="00177246"/>
    <w:rsid w:val="00182444"/>
    <w:rsid w:val="001900DA"/>
    <w:rsid w:val="0019087A"/>
    <w:rsid w:val="00191D9C"/>
    <w:rsid w:val="00193463"/>
    <w:rsid w:val="00196349"/>
    <w:rsid w:val="001A07DE"/>
    <w:rsid w:val="001A3E23"/>
    <w:rsid w:val="001A528E"/>
    <w:rsid w:val="001A69DB"/>
    <w:rsid w:val="001B1587"/>
    <w:rsid w:val="001B201A"/>
    <w:rsid w:val="001B2554"/>
    <w:rsid w:val="001B508A"/>
    <w:rsid w:val="001C41B4"/>
    <w:rsid w:val="001C52B4"/>
    <w:rsid w:val="001C6A08"/>
    <w:rsid w:val="001C70A3"/>
    <w:rsid w:val="001D0039"/>
    <w:rsid w:val="001D1DC2"/>
    <w:rsid w:val="001D3BFA"/>
    <w:rsid w:val="001E1880"/>
    <w:rsid w:val="001E5CFE"/>
    <w:rsid w:val="001F19DA"/>
    <w:rsid w:val="001F61C1"/>
    <w:rsid w:val="001F6AD1"/>
    <w:rsid w:val="001F6E6A"/>
    <w:rsid w:val="00210F2B"/>
    <w:rsid w:val="002165B1"/>
    <w:rsid w:val="00232C78"/>
    <w:rsid w:val="002334F0"/>
    <w:rsid w:val="00243485"/>
    <w:rsid w:val="00246CA3"/>
    <w:rsid w:val="002526A0"/>
    <w:rsid w:val="002560BD"/>
    <w:rsid w:val="00261442"/>
    <w:rsid w:val="00262389"/>
    <w:rsid w:val="00264B15"/>
    <w:rsid w:val="0026556A"/>
    <w:rsid w:val="0026713C"/>
    <w:rsid w:val="0028794F"/>
    <w:rsid w:val="00290263"/>
    <w:rsid w:val="00290657"/>
    <w:rsid w:val="00293D71"/>
    <w:rsid w:val="0029436D"/>
    <w:rsid w:val="0029697C"/>
    <w:rsid w:val="002A0EC0"/>
    <w:rsid w:val="002A1740"/>
    <w:rsid w:val="002A1AD6"/>
    <w:rsid w:val="002A4D9E"/>
    <w:rsid w:val="002A6C79"/>
    <w:rsid w:val="002B411F"/>
    <w:rsid w:val="002B7CDB"/>
    <w:rsid w:val="002C187E"/>
    <w:rsid w:val="002C2C8D"/>
    <w:rsid w:val="002C7EFA"/>
    <w:rsid w:val="002D1AFB"/>
    <w:rsid w:val="002D1C90"/>
    <w:rsid w:val="002D545F"/>
    <w:rsid w:val="002D6CFE"/>
    <w:rsid w:val="002E2DCA"/>
    <w:rsid w:val="002F67E5"/>
    <w:rsid w:val="002F733C"/>
    <w:rsid w:val="003152B8"/>
    <w:rsid w:val="00315BD2"/>
    <w:rsid w:val="00315F5B"/>
    <w:rsid w:val="003171EC"/>
    <w:rsid w:val="00317EF0"/>
    <w:rsid w:val="00322391"/>
    <w:rsid w:val="003264F9"/>
    <w:rsid w:val="003421BF"/>
    <w:rsid w:val="00346FF6"/>
    <w:rsid w:val="00360101"/>
    <w:rsid w:val="003605B5"/>
    <w:rsid w:val="00362AC4"/>
    <w:rsid w:val="00364477"/>
    <w:rsid w:val="00364CB1"/>
    <w:rsid w:val="0036519C"/>
    <w:rsid w:val="00370058"/>
    <w:rsid w:val="0037414E"/>
    <w:rsid w:val="0038017F"/>
    <w:rsid w:val="00383311"/>
    <w:rsid w:val="003849D9"/>
    <w:rsid w:val="00385D57"/>
    <w:rsid w:val="00390FE9"/>
    <w:rsid w:val="00397AE3"/>
    <w:rsid w:val="003A2A8F"/>
    <w:rsid w:val="003A4CFA"/>
    <w:rsid w:val="003A53A3"/>
    <w:rsid w:val="003B4475"/>
    <w:rsid w:val="003B4DAF"/>
    <w:rsid w:val="003B6C03"/>
    <w:rsid w:val="003C2816"/>
    <w:rsid w:val="003C30F3"/>
    <w:rsid w:val="003D020E"/>
    <w:rsid w:val="003D0C90"/>
    <w:rsid w:val="003D15EE"/>
    <w:rsid w:val="003D16A5"/>
    <w:rsid w:val="003D1DA9"/>
    <w:rsid w:val="003D3596"/>
    <w:rsid w:val="003D3E22"/>
    <w:rsid w:val="003D6150"/>
    <w:rsid w:val="003F1BF8"/>
    <w:rsid w:val="003F368D"/>
    <w:rsid w:val="00404C45"/>
    <w:rsid w:val="004071E2"/>
    <w:rsid w:val="0040765C"/>
    <w:rsid w:val="00414CC8"/>
    <w:rsid w:val="004163C0"/>
    <w:rsid w:val="00422689"/>
    <w:rsid w:val="00423B6A"/>
    <w:rsid w:val="00426C5E"/>
    <w:rsid w:val="00434C4C"/>
    <w:rsid w:val="00437646"/>
    <w:rsid w:val="004409FA"/>
    <w:rsid w:val="00440AD1"/>
    <w:rsid w:val="00441527"/>
    <w:rsid w:val="00441DF1"/>
    <w:rsid w:val="00455887"/>
    <w:rsid w:val="00456AC2"/>
    <w:rsid w:val="00461F05"/>
    <w:rsid w:val="004665CE"/>
    <w:rsid w:val="0047078F"/>
    <w:rsid w:val="00476496"/>
    <w:rsid w:val="0047736E"/>
    <w:rsid w:val="004831B5"/>
    <w:rsid w:val="00483E3B"/>
    <w:rsid w:val="004848A9"/>
    <w:rsid w:val="00486C6B"/>
    <w:rsid w:val="0048771F"/>
    <w:rsid w:val="004A0C79"/>
    <w:rsid w:val="004B1D5F"/>
    <w:rsid w:val="004B6ECD"/>
    <w:rsid w:val="004C0D5A"/>
    <w:rsid w:val="004C1759"/>
    <w:rsid w:val="004C2D48"/>
    <w:rsid w:val="004C50EB"/>
    <w:rsid w:val="004C6C40"/>
    <w:rsid w:val="004C71F3"/>
    <w:rsid w:val="004D161D"/>
    <w:rsid w:val="004D2F75"/>
    <w:rsid w:val="004F003F"/>
    <w:rsid w:val="004F1CFD"/>
    <w:rsid w:val="004F36DE"/>
    <w:rsid w:val="004F4856"/>
    <w:rsid w:val="004F4E55"/>
    <w:rsid w:val="00500A42"/>
    <w:rsid w:val="00500BE6"/>
    <w:rsid w:val="005039E9"/>
    <w:rsid w:val="00505D5D"/>
    <w:rsid w:val="005072E8"/>
    <w:rsid w:val="0051495F"/>
    <w:rsid w:val="0052282E"/>
    <w:rsid w:val="00523204"/>
    <w:rsid w:val="00523246"/>
    <w:rsid w:val="0053301D"/>
    <w:rsid w:val="005416D9"/>
    <w:rsid w:val="00546D7A"/>
    <w:rsid w:val="00547173"/>
    <w:rsid w:val="00547E60"/>
    <w:rsid w:val="00550C12"/>
    <w:rsid w:val="005556FD"/>
    <w:rsid w:val="00555816"/>
    <w:rsid w:val="00555D97"/>
    <w:rsid w:val="00563634"/>
    <w:rsid w:val="0056576C"/>
    <w:rsid w:val="00572F01"/>
    <w:rsid w:val="00581FDB"/>
    <w:rsid w:val="00593BB8"/>
    <w:rsid w:val="00594C87"/>
    <w:rsid w:val="005957F6"/>
    <w:rsid w:val="005A5E1F"/>
    <w:rsid w:val="005A785F"/>
    <w:rsid w:val="005A79A2"/>
    <w:rsid w:val="005B2572"/>
    <w:rsid w:val="005B3A3A"/>
    <w:rsid w:val="005B57B7"/>
    <w:rsid w:val="005C0953"/>
    <w:rsid w:val="005C3AA8"/>
    <w:rsid w:val="005D0C7B"/>
    <w:rsid w:val="005D10AA"/>
    <w:rsid w:val="005D2E74"/>
    <w:rsid w:val="005D4A25"/>
    <w:rsid w:val="005D4F51"/>
    <w:rsid w:val="005D599F"/>
    <w:rsid w:val="005E0BD8"/>
    <w:rsid w:val="005E2F4D"/>
    <w:rsid w:val="005F2514"/>
    <w:rsid w:val="005F3203"/>
    <w:rsid w:val="005F5EC5"/>
    <w:rsid w:val="00600843"/>
    <w:rsid w:val="006063A0"/>
    <w:rsid w:val="0061169B"/>
    <w:rsid w:val="00620344"/>
    <w:rsid w:val="0062740B"/>
    <w:rsid w:val="0063518E"/>
    <w:rsid w:val="00635E94"/>
    <w:rsid w:val="00637143"/>
    <w:rsid w:val="00640E6B"/>
    <w:rsid w:val="00643EB4"/>
    <w:rsid w:val="00653765"/>
    <w:rsid w:val="00654432"/>
    <w:rsid w:val="00655F79"/>
    <w:rsid w:val="00665574"/>
    <w:rsid w:val="00666DB2"/>
    <w:rsid w:val="006718C9"/>
    <w:rsid w:val="00674B80"/>
    <w:rsid w:val="006766BE"/>
    <w:rsid w:val="006807BE"/>
    <w:rsid w:val="00681587"/>
    <w:rsid w:val="00681C6A"/>
    <w:rsid w:val="00682527"/>
    <w:rsid w:val="00686EF7"/>
    <w:rsid w:val="0068786D"/>
    <w:rsid w:val="00693EA3"/>
    <w:rsid w:val="00695CF3"/>
    <w:rsid w:val="006A4816"/>
    <w:rsid w:val="006A6CA1"/>
    <w:rsid w:val="006B1756"/>
    <w:rsid w:val="006B306D"/>
    <w:rsid w:val="006B4F04"/>
    <w:rsid w:val="006B5985"/>
    <w:rsid w:val="006B7696"/>
    <w:rsid w:val="006C01E0"/>
    <w:rsid w:val="006C4A1A"/>
    <w:rsid w:val="006C4D4B"/>
    <w:rsid w:val="006D4CA3"/>
    <w:rsid w:val="006D58DA"/>
    <w:rsid w:val="006E5FC8"/>
    <w:rsid w:val="006F2692"/>
    <w:rsid w:val="006F4171"/>
    <w:rsid w:val="007015B1"/>
    <w:rsid w:val="00703B7D"/>
    <w:rsid w:val="007062C4"/>
    <w:rsid w:val="007077B5"/>
    <w:rsid w:val="007103A8"/>
    <w:rsid w:val="00712903"/>
    <w:rsid w:val="00724C48"/>
    <w:rsid w:val="00726518"/>
    <w:rsid w:val="0073082F"/>
    <w:rsid w:val="00735F28"/>
    <w:rsid w:val="00736303"/>
    <w:rsid w:val="00740189"/>
    <w:rsid w:val="0074612C"/>
    <w:rsid w:val="00746253"/>
    <w:rsid w:val="00750A29"/>
    <w:rsid w:val="00752C16"/>
    <w:rsid w:val="00761B7D"/>
    <w:rsid w:val="00764B74"/>
    <w:rsid w:val="00764E38"/>
    <w:rsid w:val="00766576"/>
    <w:rsid w:val="00766701"/>
    <w:rsid w:val="00766D2F"/>
    <w:rsid w:val="007704BA"/>
    <w:rsid w:val="00775A77"/>
    <w:rsid w:val="00781472"/>
    <w:rsid w:val="00782AE2"/>
    <w:rsid w:val="00783387"/>
    <w:rsid w:val="007847E9"/>
    <w:rsid w:val="00787D5B"/>
    <w:rsid w:val="0079376B"/>
    <w:rsid w:val="00796724"/>
    <w:rsid w:val="007A0DA4"/>
    <w:rsid w:val="007A1ADE"/>
    <w:rsid w:val="007A4C45"/>
    <w:rsid w:val="007A7C1F"/>
    <w:rsid w:val="007B01E5"/>
    <w:rsid w:val="007B0682"/>
    <w:rsid w:val="007B0E2E"/>
    <w:rsid w:val="007B2A98"/>
    <w:rsid w:val="007B32D4"/>
    <w:rsid w:val="007B3D43"/>
    <w:rsid w:val="007B43F4"/>
    <w:rsid w:val="007B73F6"/>
    <w:rsid w:val="007B789C"/>
    <w:rsid w:val="007C428A"/>
    <w:rsid w:val="007D0E61"/>
    <w:rsid w:val="007D5B45"/>
    <w:rsid w:val="007E3348"/>
    <w:rsid w:val="007E7773"/>
    <w:rsid w:val="007F369C"/>
    <w:rsid w:val="007F7917"/>
    <w:rsid w:val="008040BA"/>
    <w:rsid w:val="00805AA3"/>
    <w:rsid w:val="00806E04"/>
    <w:rsid w:val="00807F39"/>
    <w:rsid w:val="00813BC5"/>
    <w:rsid w:val="00815476"/>
    <w:rsid w:val="008261DB"/>
    <w:rsid w:val="0083192C"/>
    <w:rsid w:val="0083550A"/>
    <w:rsid w:val="00840B63"/>
    <w:rsid w:val="00842E53"/>
    <w:rsid w:val="00843485"/>
    <w:rsid w:val="00873CDE"/>
    <w:rsid w:val="00874D59"/>
    <w:rsid w:val="008752E6"/>
    <w:rsid w:val="00877F70"/>
    <w:rsid w:val="008835E6"/>
    <w:rsid w:val="00883F6F"/>
    <w:rsid w:val="00885EE4"/>
    <w:rsid w:val="00890DCE"/>
    <w:rsid w:val="00894A34"/>
    <w:rsid w:val="0089510F"/>
    <w:rsid w:val="008951B1"/>
    <w:rsid w:val="008967A3"/>
    <w:rsid w:val="00896F8D"/>
    <w:rsid w:val="008A08C0"/>
    <w:rsid w:val="008A1026"/>
    <w:rsid w:val="008A74DD"/>
    <w:rsid w:val="008B2E5C"/>
    <w:rsid w:val="008B3BD9"/>
    <w:rsid w:val="008B63C7"/>
    <w:rsid w:val="008D1949"/>
    <w:rsid w:val="008D79C9"/>
    <w:rsid w:val="008E05FD"/>
    <w:rsid w:val="008E0DBC"/>
    <w:rsid w:val="008E2765"/>
    <w:rsid w:val="008F3820"/>
    <w:rsid w:val="008F4928"/>
    <w:rsid w:val="008F50B1"/>
    <w:rsid w:val="00903E5F"/>
    <w:rsid w:val="00904B4C"/>
    <w:rsid w:val="00904BFF"/>
    <w:rsid w:val="0091477B"/>
    <w:rsid w:val="00915237"/>
    <w:rsid w:val="00916270"/>
    <w:rsid w:val="00916B04"/>
    <w:rsid w:val="00916C1C"/>
    <w:rsid w:val="00924E4D"/>
    <w:rsid w:val="00927DE6"/>
    <w:rsid w:val="00930206"/>
    <w:rsid w:val="0093042D"/>
    <w:rsid w:val="00930900"/>
    <w:rsid w:val="00933EBD"/>
    <w:rsid w:val="00936408"/>
    <w:rsid w:val="00943C0F"/>
    <w:rsid w:val="00946AAD"/>
    <w:rsid w:val="00951D61"/>
    <w:rsid w:val="009531C1"/>
    <w:rsid w:val="00953833"/>
    <w:rsid w:val="0095461F"/>
    <w:rsid w:val="009551B3"/>
    <w:rsid w:val="009615C9"/>
    <w:rsid w:val="0096557B"/>
    <w:rsid w:val="00970E37"/>
    <w:rsid w:val="00971CCB"/>
    <w:rsid w:val="009765B7"/>
    <w:rsid w:val="0097785D"/>
    <w:rsid w:val="00983243"/>
    <w:rsid w:val="00984247"/>
    <w:rsid w:val="00984F87"/>
    <w:rsid w:val="0098503D"/>
    <w:rsid w:val="00987CF8"/>
    <w:rsid w:val="009B2E9E"/>
    <w:rsid w:val="009D1E5A"/>
    <w:rsid w:val="009D3463"/>
    <w:rsid w:val="009D71F5"/>
    <w:rsid w:val="009E2348"/>
    <w:rsid w:val="009E289E"/>
    <w:rsid w:val="009E597E"/>
    <w:rsid w:val="009E5F73"/>
    <w:rsid w:val="009E7932"/>
    <w:rsid w:val="009F110C"/>
    <w:rsid w:val="009F285A"/>
    <w:rsid w:val="009F2CD1"/>
    <w:rsid w:val="009F3C78"/>
    <w:rsid w:val="009F4858"/>
    <w:rsid w:val="00A111B9"/>
    <w:rsid w:val="00A1248D"/>
    <w:rsid w:val="00A257C0"/>
    <w:rsid w:val="00A325BE"/>
    <w:rsid w:val="00A336C9"/>
    <w:rsid w:val="00A33E15"/>
    <w:rsid w:val="00A51F80"/>
    <w:rsid w:val="00A53500"/>
    <w:rsid w:val="00A54766"/>
    <w:rsid w:val="00A61926"/>
    <w:rsid w:val="00A7007E"/>
    <w:rsid w:val="00A7244E"/>
    <w:rsid w:val="00A7360C"/>
    <w:rsid w:val="00A8060F"/>
    <w:rsid w:val="00A86FD0"/>
    <w:rsid w:val="00A8704A"/>
    <w:rsid w:val="00A9144D"/>
    <w:rsid w:val="00A9193F"/>
    <w:rsid w:val="00A95C74"/>
    <w:rsid w:val="00AA03EF"/>
    <w:rsid w:val="00AA0BBA"/>
    <w:rsid w:val="00AA3807"/>
    <w:rsid w:val="00AB0266"/>
    <w:rsid w:val="00AB2121"/>
    <w:rsid w:val="00AB2B38"/>
    <w:rsid w:val="00AB45EC"/>
    <w:rsid w:val="00AC1D49"/>
    <w:rsid w:val="00AC4738"/>
    <w:rsid w:val="00AC4E5B"/>
    <w:rsid w:val="00AD1F73"/>
    <w:rsid w:val="00AE20FC"/>
    <w:rsid w:val="00AE50A2"/>
    <w:rsid w:val="00AE7384"/>
    <w:rsid w:val="00AF7C0C"/>
    <w:rsid w:val="00B01F44"/>
    <w:rsid w:val="00B13D8A"/>
    <w:rsid w:val="00B26F59"/>
    <w:rsid w:val="00B33AAD"/>
    <w:rsid w:val="00B529BD"/>
    <w:rsid w:val="00B5458B"/>
    <w:rsid w:val="00B553A4"/>
    <w:rsid w:val="00B556E8"/>
    <w:rsid w:val="00B61B43"/>
    <w:rsid w:val="00B64F8C"/>
    <w:rsid w:val="00B67B36"/>
    <w:rsid w:val="00B72492"/>
    <w:rsid w:val="00B77A77"/>
    <w:rsid w:val="00B77A97"/>
    <w:rsid w:val="00B848AF"/>
    <w:rsid w:val="00B8495D"/>
    <w:rsid w:val="00B925B6"/>
    <w:rsid w:val="00BA028D"/>
    <w:rsid w:val="00BA615F"/>
    <w:rsid w:val="00BA7069"/>
    <w:rsid w:val="00BB1C51"/>
    <w:rsid w:val="00BB4010"/>
    <w:rsid w:val="00BB782F"/>
    <w:rsid w:val="00BC1F64"/>
    <w:rsid w:val="00BC21B8"/>
    <w:rsid w:val="00BD0F0B"/>
    <w:rsid w:val="00BD1CC6"/>
    <w:rsid w:val="00BD4863"/>
    <w:rsid w:val="00BE18F0"/>
    <w:rsid w:val="00BE2E0D"/>
    <w:rsid w:val="00BE5BB0"/>
    <w:rsid w:val="00BF0812"/>
    <w:rsid w:val="00BF1D8E"/>
    <w:rsid w:val="00BF496F"/>
    <w:rsid w:val="00C1137A"/>
    <w:rsid w:val="00C1163F"/>
    <w:rsid w:val="00C20764"/>
    <w:rsid w:val="00C21717"/>
    <w:rsid w:val="00C2789F"/>
    <w:rsid w:val="00C327D8"/>
    <w:rsid w:val="00C32885"/>
    <w:rsid w:val="00C33111"/>
    <w:rsid w:val="00C363BB"/>
    <w:rsid w:val="00C36457"/>
    <w:rsid w:val="00C44D2C"/>
    <w:rsid w:val="00C47D49"/>
    <w:rsid w:val="00C50DB8"/>
    <w:rsid w:val="00C51F69"/>
    <w:rsid w:val="00C54F82"/>
    <w:rsid w:val="00C57A27"/>
    <w:rsid w:val="00C63FAA"/>
    <w:rsid w:val="00C66666"/>
    <w:rsid w:val="00C76CD2"/>
    <w:rsid w:val="00C805B4"/>
    <w:rsid w:val="00C8108C"/>
    <w:rsid w:val="00C82CAF"/>
    <w:rsid w:val="00C857FC"/>
    <w:rsid w:val="00C86B3B"/>
    <w:rsid w:val="00C87C7E"/>
    <w:rsid w:val="00C94055"/>
    <w:rsid w:val="00C95C4D"/>
    <w:rsid w:val="00C96CB5"/>
    <w:rsid w:val="00CA1C42"/>
    <w:rsid w:val="00CA2A2B"/>
    <w:rsid w:val="00CA36CC"/>
    <w:rsid w:val="00CA69DE"/>
    <w:rsid w:val="00CA736B"/>
    <w:rsid w:val="00CB3158"/>
    <w:rsid w:val="00CD12CF"/>
    <w:rsid w:val="00CD237F"/>
    <w:rsid w:val="00CD4816"/>
    <w:rsid w:val="00CD7771"/>
    <w:rsid w:val="00CD7BAD"/>
    <w:rsid w:val="00CE4667"/>
    <w:rsid w:val="00CE7F39"/>
    <w:rsid w:val="00CF35E5"/>
    <w:rsid w:val="00CF3EA5"/>
    <w:rsid w:val="00CF61C6"/>
    <w:rsid w:val="00D00A76"/>
    <w:rsid w:val="00D11417"/>
    <w:rsid w:val="00D22365"/>
    <w:rsid w:val="00D311B7"/>
    <w:rsid w:val="00D44752"/>
    <w:rsid w:val="00D46497"/>
    <w:rsid w:val="00D52200"/>
    <w:rsid w:val="00D565B9"/>
    <w:rsid w:val="00D56EAD"/>
    <w:rsid w:val="00D57A7E"/>
    <w:rsid w:val="00D67C0D"/>
    <w:rsid w:val="00D71A8F"/>
    <w:rsid w:val="00D72159"/>
    <w:rsid w:val="00D725A4"/>
    <w:rsid w:val="00D72DE5"/>
    <w:rsid w:val="00D75AE6"/>
    <w:rsid w:val="00D813A0"/>
    <w:rsid w:val="00D870AF"/>
    <w:rsid w:val="00D878F6"/>
    <w:rsid w:val="00D933E7"/>
    <w:rsid w:val="00D96A0D"/>
    <w:rsid w:val="00D9745C"/>
    <w:rsid w:val="00DA2E06"/>
    <w:rsid w:val="00DA4314"/>
    <w:rsid w:val="00DB74F8"/>
    <w:rsid w:val="00DC0391"/>
    <w:rsid w:val="00DC205D"/>
    <w:rsid w:val="00DC26FC"/>
    <w:rsid w:val="00DC36DF"/>
    <w:rsid w:val="00DD0B85"/>
    <w:rsid w:val="00DD0E3C"/>
    <w:rsid w:val="00DE377F"/>
    <w:rsid w:val="00DE3FAA"/>
    <w:rsid w:val="00DF27C2"/>
    <w:rsid w:val="00DF3B36"/>
    <w:rsid w:val="00DF6F5E"/>
    <w:rsid w:val="00DF7724"/>
    <w:rsid w:val="00E00692"/>
    <w:rsid w:val="00E06DB1"/>
    <w:rsid w:val="00E0748B"/>
    <w:rsid w:val="00E10075"/>
    <w:rsid w:val="00E104A1"/>
    <w:rsid w:val="00E107C5"/>
    <w:rsid w:val="00E235D5"/>
    <w:rsid w:val="00E25A25"/>
    <w:rsid w:val="00E315BB"/>
    <w:rsid w:val="00E343B7"/>
    <w:rsid w:val="00E3544C"/>
    <w:rsid w:val="00E4365B"/>
    <w:rsid w:val="00E44965"/>
    <w:rsid w:val="00E528C2"/>
    <w:rsid w:val="00E55C2B"/>
    <w:rsid w:val="00E56F57"/>
    <w:rsid w:val="00E60F58"/>
    <w:rsid w:val="00E74D46"/>
    <w:rsid w:val="00E76577"/>
    <w:rsid w:val="00E7750C"/>
    <w:rsid w:val="00E82903"/>
    <w:rsid w:val="00E837D9"/>
    <w:rsid w:val="00E8416B"/>
    <w:rsid w:val="00E946DB"/>
    <w:rsid w:val="00E95FC8"/>
    <w:rsid w:val="00E96CFA"/>
    <w:rsid w:val="00E97687"/>
    <w:rsid w:val="00E9771C"/>
    <w:rsid w:val="00EA3A7A"/>
    <w:rsid w:val="00EA51AB"/>
    <w:rsid w:val="00EA6A28"/>
    <w:rsid w:val="00EA6C03"/>
    <w:rsid w:val="00EB342E"/>
    <w:rsid w:val="00EB5B74"/>
    <w:rsid w:val="00EB60EF"/>
    <w:rsid w:val="00ED384B"/>
    <w:rsid w:val="00ED3AC8"/>
    <w:rsid w:val="00ED4FA7"/>
    <w:rsid w:val="00ED6EAD"/>
    <w:rsid w:val="00EE138B"/>
    <w:rsid w:val="00EE1CFC"/>
    <w:rsid w:val="00EE30BC"/>
    <w:rsid w:val="00EE3DEE"/>
    <w:rsid w:val="00EE44B0"/>
    <w:rsid w:val="00EE557E"/>
    <w:rsid w:val="00EE6975"/>
    <w:rsid w:val="00EF38C8"/>
    <w:rsid w:val="00EF4EE6"/>
    <w:rsid w:val="00F00CAA"/>
    <w:rsid w:val="00F02438"/>
    <w:rsid w:val="00F06BBD"/>
    <w:rsid w:val="00F14C03"/>
    <w:rsid w:val="00F166AB"/>
    <w:rsid w:val="00F16A63"/>
    <w:rsid w:val="00F1736B"/>
    <w:rsid w:val="00F174BA"/>
    <w:rsid w:val="00F23D49"/>
    <w:rsid w:val="00F25366"/>
    <w:rsid w:val="00F271FE"/>
    <w:rsid w:val="00F44EC3"/>
    <w:rsid w:val="00F50E44"/>
    <w:rsid w:val="00F510F2"/>
    <w:rsid w:val="00F51456"/>
    <w:rsid w:val="00F51ACA"/>
    <w:rsid w:val="00F52325"/>
    <w:rsid w:val="00F5705B"/>
    <w:rsid w:val="00F60DEF"/>
    <w:rsid w:val="00F632CF"/>
    <w:rsid w:val="00F63B89"/>
    <w:rsid w:val="00F67125"/>
    <w:rsid w:val="00F67883"/>
    <w:rsid w:val="00F71B17"/>
    <w:rsid w:val="00F7203F"/>
    <w:rsid w:val="00F72902"/>
    <w:rsid w:val="00F73986"/>
    <w:rsid w:val="00F80562"/>
    <w:rsid w:val="00F80B6D"/>
    <w:rsid w:val="00F81775"/>
    <w:rsid w:val="00F84A4B"/>
    <w:rsid w:val="00F87268"/>
    <w:rsid w:val="00FA1213"/>
    <w:rsid w:val="00FA4235"/>
    <w:rsid w:val="00FB390B"/>
    <w:rsid w:val="00FB39D3"/>
    <w:rsid w:val="00FB4A64"/>
    <w:rsid w:val="00FB621F"/>
    <w:rsid w:val="00FC22A8"/>
    <w:rsid w:val="00FC322F"/>
    <w:rsid w:val="00FD38F0"/>
    <w:rsid w:val="00FD4946"/>
    <w:rsid w:val="00FD503F"/>
    <w:rsid w:val="00FD6FA5"/>
    <w:rsid w:val="00FE1E24"/>
    <w:rsid w:val="00FE2BDC"/>
    <w:rsid w:val="00FE65B4"/>
    <w:rsid w:val="00FE77E2"/>
    <w:rsid w:val="00FF5724"/>
    <w:rsid w:val="00FF5EEA"/>
    <w:rsid w:val="016D63C3"/>
    <w:rsid w:val="018C60E8"/>
    <w:rsid w:val="02163049"/>
    <w:rsid w:val="02263A6A"/>
    <w:rsid w:val="02640F5E"/>
    <w:rsid w:val="02696650"/>
    <w:rsid w:val="026E7000"/>
    <w:rsid w:val="028B4FDC"/>
    <w:rsid w:val="02FF75B1"/>
    <w:rsid w:val="03043453"/>
    <w:rsid w:val="031C14B8"/>
    <w:rsid w:val="03377163"/>
    <w:rsid w:val="03991E94"/>
    <w:rsid w:val="03A342E3"/>
    <w:rsid w:val="03DE2F1D"/>
    <w:rsid w:val="040C77F0"/>
    <w:rsid w:val="044048BF"/>
    <w:rsid w:val="04C05DFC"/>
    <w:rsid w:val="04F14151"/>
    <w:rsid w:val="04F80880"/>
    <w:rsid w:val="050277BE"/>
    <w:rsid w:val="057D6CE6"/>
    <w:rsid w:val="0593395C"/>
    <w:rsid w:val="05986BB9"/>
    <w:rsid w:val="05A723AD"/>
    <w:rsid w:val="0657535E"/>
    <w:rsid w:val="06597D88"/>
    <w:rsid w:val="06CF1DA0"/>
    <w:rsid w:val="06D55590"/>
    <w:rsid w:val="075E2E67"/>
    <w:rsid w:val="07B74988"/>
    <w:rsid w:val="07BB00B8"/>
    <w:rsid w:val="07EF1E3C"/>
    <w:rsid w:val="0816620B"/>
    <w:rsid w:val="0827534C"/>
    <w:rsid w:val="08477956"/>
    <w:rsid w:val="08693F08"/>
    <w:rsid w:val="08D31BE9"/>
    <w:rsid w:val="08E6247E"/>
    <w:rsid w:val="0959335B"/>
    <w:rsid w:val="095A4E0A"/>
    <w:rsid w:val="09AC3E69"/>
    <w:rsid w:val="09CC6D91"/>
    <w:rsid w:val="09EC5DC7"/>
    <w:rsid w:val="0A8C1984"/>
    <w:rsid w:val="0ABE6DD0"/>
    <w:rsid w:val="0B042F72"/>
    <w:rsid w:val="0B50429D"/>
    <w:rsid w:val="0B630F71"/>
    <w:rsid w:val="0B686817"/>
    <w:rsid w:val="0B8B2483"/>
    <w:rsid w:val="0B8C244B"/>
    <w:rsid w:val="0BA304C4"/>
    <w:rsid w:val="0BE47A77"/>
    <w:rsid w:val="0C116B57"/>
    <w:rsid w:val="0C284DDB"/>
    <w:rsid w:val="0CA83F00"/>
    <w:rsid w:val="0D0E3A43"/>
    <w:rsid w:val="0D210741"/>
    <w:rsid w:val="0D375678"/>
    <w:rsid w:val="0D5E2C8D"/>
    <w:rsid w:val="0D601101"/>
    <w:rsid w:val="0D931CE9"/>
    <w:rsid w:val="0DA25CD5"/>
    <w:rsid w:val="0DC61EF6"/>
    <w:rsid w:val="0E160B42"/>
    <w:rsid w:val="0E1834B7"/>
    <w:rsid w:val="0E3B7F3C"/>
    <w:rsid w:val="0E657269"/>
    <w:rsid w:val="0E6C6C11"/>
    <w:rsid w:val="0EF31F47"/>
    <w:rsid w:val="0F405336"/>
    <w:rsid w:val="0F711295"/>
    <w:rsid w:val="0F714130"/>
    <w:rsid w:val="0F972671"/>
    <w:rsid w:val="0FAB1A41"/>
    <w:rsid w:val="0FAC21BB"/>
    <w:rsid w:val="0FFB4E11"/>
    <w:rsid w:val="10127C91"/>
    <w:rsid w:val="10B45197"/>
    <w:rsid w:val="11190234"/>
    <w:rsid w:val="11C100C5"/>
    <w:rsid w:val="12091872"/>
    <w:rsid w:val="12287C2A"/>
    <w:rsid w:val="12574CC7"/>
    <w:rsid w:val="127C4FD8"/>
    <w:rsid w:val="128321FA"/>
    <w:rsid w:val="12BA7708"/>
    <w:rsid w:val="12D515DC"/>
    <w:rsid w:val="12EC7C11"/>
    <w:rsid w:val="12F36F0B"/>
    <w:rsid w:val="12F42D6A"/>
    <w:rsid w:val="133C7397"/>
    <w:rsid w:val="13FA6895"/>
    <w:rsid w:val="14175A8D"/>
    <w:rsid w:val="141C0E89"/>
    <w:rsid w:val="14C01A90"/>
    <w:rsid w:val="14C6249D"/>
    <w:rsid w:val="14D95386"/>
    <w:rsid w:val="150507E1"/>
    <w:rsid w:val="153F285C"/>
    <w:rsid w:val="15B40BDF"/>
    <w:rsid w:val="15E6743C"/>
    <w:rsid w:val="15EA5A58"/>
    <w:rsid w:val="160E76B8"/>
    <w:rsid w:val="17543163"/>
    <w:rsid w:val="17F4314D"/>
    <w:rsid w:val="17F6010B"/>
    <w:rsid w:val="180242C5"/>
    <w:rsid w:val="18024725"/>
    <w:rsid w:val="1846524A"/>
    <w:rsid w:val="185A320C"/>
    <w:rsid w:val="18C966BD"/>
    <w:rsid w:val="18CB0038"/>
    <w:rsid w:val="18DE3ADD"/>
    <w:rsid w:val="191E0245"/>
    <w:rsid w:val="193D5435"/>
    <w:rsid w:val="19FD2228"/>
    <w:rsid w:val="1A894980"/>
    <w:rsid w:val="1AA5179F"/>
    <w:rsid w:val="1B115ED7"/>
    <w:rsid w:val="1B403C20"/>
    <w:rsid w:val="1B4468B4"/>
    <w:rsid w:val="1B662A61"/>
    <w:rsid w:val="1B6D0ACF"/>
    <w:rsid w:val="1BD150B2"/>
    <w:rsid w:val="1C454EDA"/>
    <w:rsid w:val="1D446E85"/>
    <w:rsid w:val="1D5641A1"/>
    <w:rsid w:val="1D8242C0"/>
    <w:rsid w:val="1D8E1D72"/>
    <w:rsid w:val="1E2467D9"/>
    <w:rsid w:val="1E5A5517"/>
    <w:rsid w:val="1EAE54AC"/>
    <w:rsid w:val="1F107A40"/>
    <w:rsid w:val="1F420615"/>
    <w:rsid w:val="1FE33127"/>
    <w:rsid w:val="200817F2"/>
    <w:rsid w:val="20231B79"/>
    <w:rsid w:val="20316CA6"/>
    <w:rsid w:val="205E0ADA"/>
    <w:rsid w:val="207E5393"/>
    <w:rsid w:val="20886A49"/>
    <w:rsid w:val="209F7214"/>
    <w:rsid w:val="21676C83"/>
    <w:rsid w:val="219B7686"/>
    <w:rsid w:val="22207A2C"/>
    <w:rsid w:val="22487E46"/>
    <w:rsid w:val="22B777AD"/>
    <w:rsid w:val="22F30237"/>
    <w:rsid w:val="230D35A6"/>
    <w:rsid w:val="231A0E1D"/>
    <w:rsid w:val="234A7F94"/>
    <w:rsid w:val="23601F86"/>
    <w:rsid w:val="236039D3"/>
    <w:rsid w:val="23711C12"/>
    <w:rsid w:val="237B1154"/>
    <w:rsid w:val="239B62CD"/>
    <w:rsid w:val="23B365E3"/>
    <w:rsid w:val="23D027F8"/>
    <w:rsid w:val="246349B2"/>
    <w:rsid w:val="24DD5582"/>
    <w:rsid w:val="2517672F"/>
    <w:rsid w:val="254A4C2A"/>
    <w:rsid w:val="25574DD1"/>
    <w:rsid w:val="25705D65"/>
    <w:rsid w:val="2593310D"/>
    <w:rsid w:val="25A76F4B"/>
    <w:rsid w:val="26BD22EB"/>
    <w:rsid w:val="26C6749C"/>
    <w:rsid w:val="272073E7"/>
    <w:rsid w:val="27322D72"/>
    <w:rsid w:val="27AA03B6"/>
    <w:rsid w:val="27B13841"/>
    <w:rsid w:val="27BB1529"/>
    <w:rsid w:val="27CB137A"/>
    <w:rsid w:val="27FD1AB2"/>
    <w:rsid w:val="280A17B2"/>
    <w:rsid w:val="283C6E5C"/>
    <w:rsid w:val="28467079"/>
    <w:rsid w:val="286E31DB"/>
    <w:rsid w:val="29131665"/>
    <w:rsid w:val="29B822E2"/>
    <w:rsid w:val="29BD6F7E"/>
    <w:rsid w:val="29E17185"/>
    <w:rsid w:val="2A10731B"/>
    <w:rsid w:val="2A64039D"/>
    <w:rsid w:val="2A976264"/>
    <w:rsid w:val="2B0D1277"/>
    <w:rsid w:val="2B15352A"/>
    <w:rsid w:val="2B582DBE"/>
    <w:rsid w:val="2B656467"/>
    <w:rsid w:val="2BBC1832"/>
    <w:rsid w:val="2BF078B5"/>
    <w:rsid w:val="2C930C1C"/>
    <w:rsid w:val="2CAF2983"/>
    <w:rsid w:val="2D1E01AC"/>
    <w:rsid w:val="2D492D23"/>
    <w:rsid w:val="2D563D25"/>
    <w:rsid w:val="2D760652"/>
    <w:rsid w:val="2D9040BE"/>
    <w:rsid w:val="2DA653A2"/>
    <w:rsid w:val="2DC81700"/>
    <w:rsid w:val="2E024CAA"/>
    <w:rsid w:val="2E070FBD"/>
    <w:rsid w:val="2E2F3FAF"/>
    <w:rsid w:val="2E3171AA"/>
    <w:rsid w:val="2E5655C9"/>
    <w:rsid w:val="2E616753"/>
    <w:rsid w:val="2E8E72E0"/>
    <w:rsid w:val="2E8F1739"/>
    <w:rsid w:val="2EB01632"/>
    <w:rsid w:val="2F1E0889"/>
    <w:rsid w:val="2F2346E5"/>
    <w:rsid w:val="2F7D3726"/>
    <w:rsid w:val="2FA76C0F"/>
    <w:rsid w:val="2FB50ED2"/>
    <w:rsid w:val="2FD52559"/>
    <w:rsid w:val="30A91E90"/>
    <w:rsid w:val="30AD0AB4"/>
    <w:rsid w:val="30C30EFD"/>
    <w:rsid w:val="313B5E4B"/>
    <w:rsid w:val="31CE6011"/>
    <w:rsid w:val="31EB2C91"/>
    <w:rsid w:val="31EE188B"/>
    <w:rsid w:val="32910D06"/>
    <w:rsid w:val="32965D23"/>
    <w:rsid w:val="32D56E28"/>
    <w:rsid w:val="33251152"/>
    <w:rsid w:val="337173AD"/>
    <w:rsid w:val="337C0BC7"/>
    <w:rsid w:val="33A53E87"/>
    <w:rsid w:val="33F77D19"/>
    <w:rsid w:val="340933E2"/>
    <w:rsid w:val="34184A44"/>
    <w:rsid w:val="34491E2C"/>
    <w:rsid w:val="34B46E1E"/>
    <w:rsid w:val="34D00759"/>
    <w:rsid w:val="34D17BBE"/>
    <w:rsid w:val="34F25B53"/>
    <w:rsid w:val="35024285"/>
    <w:rsid w:val="352155FC"/>
    <w:rsid w:val="35B55ED1"/>
    <w:rsid w:val="36037E73"/>
    <w:rsid w:val="3620139B"/>
    <w:rsid w:val="36320E6C"/>
    <w:rsid w:val="36922A40"/>
    <w:rsid w:val="36941A17"/>
    <w:rsid w:val="36A56FDB"/>
    <w:rsid w:val="3754170A"/>
    <w:rsid w:val="37E7382E"/>
    <w:rsid w:val="37F97235"/>
    <w:rsid w:val="380F3363"/>
    <w:rsid w:val="38FC6976"/>
    <w:rsid w:val="391259FE"/>
    <w:rsid w:val="39232548"/>
    <w:rsid w:val="398A0D47"/>
    <w:rsid w:val="398A7FD4"/>
    <w:rsid w:val="39B903EB"/>
    <w:rsid w:val="39CB72D9"/>
    <w:rsid w:val="39DD7F73"/>
    <w:rsid w:val="3A47766C"/>
    <w:rsid w:val="3A481914"/>
    <w:rsid w:val="3A4B410B"/>
    <w:rsid w:val="3A52250F"/>
    <w:rsid w:val="3A94292C"/>
    <w:rsid w:val="3B352264"/>
    <w:rsid w:val="3BBB66D0"/>
    <w:rsid w:val="3C060856"/>
    <w:rsid w:val="3C1A4930"/>
    <w:rsid w:val="3C8B2997"/>
    <w:rsid w:val="3C9632B0"/>
    <w:rsid w:val="3CB32EF7"/>
    <w:rsid w:val="3CE226E3"/>
    <w:rsid w:val="3D1804FD"/>
    <w:rsid w:val="3D3C7165"/>
    <w:rsid w:val="3D4A4FD3"/>
    <w:rsid w:val="3D7326C2"/>
    <w:rsid w:val="3E2D1C42"/>
    <w:rsid w:val="3E315C25"/>
    <w:rsid w:val="3E7F01FE"/>
    <w:rsid w:val="3EA52FC4"/>
    <w:rsid w:val="3EBB3D30"/>
    <w:rsid w:val="3F0235F2"/>
    <w:rsid w:val="3F567A5E"/>
    <w:rsid w:val="3F9B4C94"/>
    <w:rsid w:val="3FB30F49"/>
    <w:rsid w:val="3FF514D6"/>
    <w:rsid w:val="401B7510"/>
    <w:rsid w:val="403E03A7"/>
    <w:rsid w:val="40573ABC"/>
    <w:rsid w:val="40D93505"/>
    <w:rsid w:val="413819F4"/>
    <w:rsid w:val="414828E0"/>
    <w:rsid w:val="41A01E1E"/>
    <w:rsid w:val="41D629D2"/>
    <w:rsid w:val="422A2EC4"/>
    <w:rsid w:val="42491454"/>
    <w:rsid w:val="42832166"/>
    <w:rsid w:val="435F7A8B"/>
    <w:rsid w:val="437C3B8F"/>
    <w:rsid w:val="43B67EE1"/>
    <w:rsid w:val="43B8707A"/>
    <w:rsid w:val="43BA32D8"/>
    <w:rsid w:val="43C34246"/>
    <w:rsid w:val="43CB7F47"/>
    <w:rsid w:val="44365EAB"/>
    <w:rsid w:val="448D17A8"/>
    <w:rsid w:val="44B00F10"/>
    <w:rsid w:val="44F359DE"/>
    <w:rsid w:val="45175374"/>
    <w:rsid w:val="452A13AC"/>
    <w:rsid w:val="452C75FA"/>
    <w:rsid w:val="453F680A"/>
    <w:rsid w:val="45AC730F"/>
    <w:rsid w:val="45C35B2A"/>
    <w:rsid w:val="45E07507"/>
    <w:rsid w:val="45E67A66"/>
    <w:rsid w:val="45F211D7"/>
    <w:rsid w:val="45FC5E74"/>
    <w:rsid w:val="4646107F"/>
    <w:rsid w:val="465C34CA"/>
    <w:rsid w:val="468F306F"/>
    <w:rsid w:val="46B32A60"/>
    <w:rsid w:val="46B81C63"/>
    <w:rsid w:val="46DD4FCB"/>
    <w:rsid w:val="46F87C7E"/>
    <w:rsid w:val="47225075"/>
    <w:rsid w:val="472C039C"/>
    <w:rsid w:val="47691D1E"/>
    <w:rsid w:val="47731513"/>
    <w:rsid w:val="48061A11"/>
    <w:rsid w:val="48277FBE"/>
    <w:rsid w:val="488926DB"/>
    <w:rsid w:val="48A905B5"/>
    <w:rsid w:val="48F15CF1"/>
    <w:rsid w:val="49191BC6"/>
    <w:rsid w:val="49480FD3"/>
    <w:rsid w:val="49591100"/>
    <w:rsid w:val="495F7A91"/>
    <w:rsid w:val="49826A69"/>
    <w:rsid w:val="499D0EA2"/>
    <w:rsid w:val="49A13A0B"/>
    <w:rsid w:val="4A005AEA"/>
    <w:rsid w:val="4A7A629D"/>
    <w:rsid w:val="4AE102C3"/>
    <w:rsid w:val="4B0C2FC4"/>
    <w:rsid w:val="4B541599"/>
    <w:rsid w:val="4B626D13"/>
    <w:rsid w:val="4C343101"/>
    <w:rsid w:val="4C5D4DA0"/>
    <w:rsid w:val="4C757C67"/>
    <w:rsid w:val="4CC13766"/>
    <w:rsid w:val="4CCF1074"/>
    <w:rsid w:val="4D363CF4"/>
    <w:rsid w:val="4D631146"/>
    <w:rsid w:val="4D8E2222"/>
    <w:rsid w:val="4D925E41"/>
    <w:rsid w:val="4DDF7F08"/>
    <w:rsid w:val="4DE3270B"/>
    <w:rsid w:val="4DFF1C82"/>
    <w:rsid w:val="4E0919BA"/>
    <w:rsid w:val="4E297B81"/>
    <w:rsid w:val="4EA02040"/>
    <w:rsid w:val="4EDB0D1F"/>
    <w:rsid w:val="4F2C5FAD"/>
    <w:rsid w:val="4F5A6B4B"/>
    <w:rsid w:val="4F894715"/>
    <w:rsid w:val="506A477A"/>
    <w:rsid w:val="508560CD"/>
    <w:rsid w:val="50B13E0F"/>
    <w:rsid w:val="50CE7D3E"/>
    <w:rsid w:val="50E56209"/>
    <w:rsid w:val="516F2B90"/>
    <w:rsid w:val="518735F3"/>
    <w:rsid w:val="520F1199"/>
    <w:rsid w:val="52554FD7"/>
    <w:rsid w:val="526752DA"/>
    <w:rsid w:val="526E1DFE"/>
    <w:rsid w:val="526F14A0"/>
    <w:rsid w:val="52BF31BD"/>
    <w:rsid w:val="53234733"/>
    <w:rsid w:val="535816F9"/>
    <w:rsid w:val="53583BA4"/>
    <w:rsid w:val="544562AB"/>
    <w:rsid w:val="54760E28"/>
    <w:rsid w:val="550674F5"/>
    <w:rsid w:val="558357E5"/>
    <w:rsid w:val="55CE7A31"/>
    <w:rsid w:val="55E33EBA"/>
    <w:rsid w:val="55F433E1"/>
    <w:rsid w:val="56EE359F"/>
    <w:rsid w:val="570E04E3"/>
    <w:rsid w:val="5711077B"/>
    <w:rsid w:val="574D65C9"/>
    <w:rsid w:val="57A5784A"/>
    <w:rsid w:val="57B27D94"/>
    <w:rsid w:val="57C36E12"/>
    <w:rsid w:val="57C635FA"/>
    <w:rsid w:val="57C73F7A"/>
    <w:rsid w:val="58001CE5"/>
    <w:rsid w:val="581E01A0"/>
    <w:rsid w:val="58405578"/>
    <w:rsid w:val="58971AA0"/>
    <w:rsid w:val="58A66E25"/>
    <w:rsid w:val="58C8122D"/>
    <w:rsid w:val="58D02C2C"/>
    <w:rsid w:val="59664D2F"/>
    <w:rsid w:val="59764043"/>
    <w:rsid w:val="59B472A6"/>
    <w:rsid w:val="59EB3936"/>
    <w:rsid w:val="5A06271B"/>
    <w:rsid w:val="5A2F7AAD"/>
    <w:rsid w:val="5A5639A7"/>
    <w:rsid w:val="5AC65DFE"/>
    <w:rsid w:val="5B145F58"/>
    <w:rsid w:val="5B215CE2"/>
    <w:rsid w:val="5B2B1108"/>
    <w:rsid w:val="5B3E5501"/>
    <w:rsid w:val="5B400BAC"/>
    <w:rsid w:val="5B5C0964"/>
    <w:rsid w:val="5B63690A"/>
    <w:rsid w:val="5B67455B"/>
    <w:rsid w:val="5B7A5DAE"/>
    <w:rsid w:val="5BA24100"/>
    <w:rsid w:val="5BB21352"/>
    <w:rsid w:val="5BE76092"/>
    <w:rsid w:val="5C644ADE"/>
    <w:rsid w:val="5C7D6EFC"/>
    <w:rsid w:val="5C8E26E3"/>
    <w:rsid w:val="5CA06A47"/>
    <w:rsid w:val="5D017750"/>
    <w:rsid w:val="5D6B6EC6"/>
    <w:rsid w:val="5D6C7039"/>
    <w:rsid w:val="5D6E00DD"/>
    <w:rsid w:val="5D936C07"/>
    <w:rsid w:val="5DD07671"/>
    <w:rsid w:val="5DD3297D"/>
    <w:rsid w:val="5DE55ECF"/>
    <w:rsid w:val="5E102940"/>
    <w:rsid w:val="5EC671E3"/>
    <w:rsid w:val="5ECC32C2"/>
    <w:rsid w:val="5F161F0D"/>
    <w:rsid w:val="5F233260"/>
    <w:rsid w:val="608228D5"/>
    <w:rsid w:val="60825B9A"/>
    <w:rsid w:val="60A915FA"/>
    <w:rsid w:val="60AA3F77"/>
    <w:rsid w:val="60D03031"/>
    <w:rsid w:val="614767C9"/>
    <w:rsid w:val="617A6B73"/>
    <w:rsid w:val="619F51CB"/>
    <w:rsid w:val="61AF1B3F"/>
    <w:rsid w:val="62455C15"/>
    <w:rsid w:val="625D24C4"/>
    <w:rsid w:val="62703A05"/>
    <w:rsid w:val="62D32286"/>
    <w:rsid w:val="62D77DA8"/>
    <w:rsid w:val="63194026"/>
    <w:rsid w:val="6340177C"/>
    <w:rsid w:val="6349281A"/>
    <w:rsid w:val="63640121"/>
    <w:rsid w:val="63EC1236"/>
    <w:rsid w:val="640D3352"/>
    <w:rsid w:val="64332D58"/>
    <w:rsid w:val="64BA0202"/>
    <w:rsid w:val="64C5553C"/>
    <w:rsid w:val="651B4E5E"/>
    <w:rsid w:val="6529301F"/>
    <w:rsid w:val="652B5686"/>
    <w:rsid w:val="65443350"/>
    <w:rsid w:val="65795C14"/>
    <w:rsid w:val="658C1D9B"/>
    <w:rsid w:val="659E6287"/>
    <w:rsid w:val="6620185F"/>
    <w:rsid w:val="668A0BE5"/>
    <w:rsid w:val="66B41AAF"/>
    <w:rsid w:val="67376BAD"/>
    <w:rsid w:val="678C5B3A"/>
    <w:rsid w:val="68355F74"/>
    <w:rsid w:val="68566139"/>
    <w:rsid w:val="689A1B76"/>
    <w:rsid w:val="68E21400"/>
    <w:rsid w:val="69034C66"/>
    <w:rsid w:val="69173910"/>
    <w:rsid w:val="69325D12"/>
    <w:rsid w:val="69361288"/>
    <w:rsid w:val="69DF5825"/>
    <w:rsid w:val="6A2D6D19"/>
    <w:rsid w:val="6A4839B0"/>
    <w:rsid w:val="6A4E506E"/>
    <w:rsid w:val="6AD52328"/>
    <w:rsid w:val="6B42330E"/>
    <w:rsid w:val="6B7A1505"/>
    <w:rsid w:val="6B8B1D24"/>
    <w:rsid w:val="6BEE0B00"/>
    <w:rsid w:val="6BFC4975"/>
    <w:rsid w:val="6C0F51AF"/>
    <w:rsid w:val="6C471F60"/>
    <w:rsid w:val="6C6C4D10"/>
    <w:rsid w:val="6CB041D5"/>
    <w:rsid w:val="6CD83126"/>
    <w:rsid w:val="6CE376BE"/>
    <w:rsid w:val="6CE624E6"/>
    <w:rsid w:val="6CF20FEF"/>
    <w:rsid w:val="6D0C1D95"/>
    <w:rsid w:val="6D2627ED"/>
    <w:rsid w:val="6D4B103A"/>
    <w:rsid w:val="6D7A5D1B"/>
    <w:rsid w:val="6DB75351"/>
    <w:rsid w:val="6DDB247D"/>
    <w:rsid w:val="6DDE1058"/>
    <w:rsid w:val="6DE25313"/>
    <w:rsid w:val="6E8437FF"/>
    <w:rsid w:val="6E976185"/>
    <w:rsid w:val="6E985596"/>
    <w:rsid w:val="6ED73E6A"/>
    <w:rsid w:val="6F00117C"/>
    <w:rsid w:val="6F0C0CCE"/>
    <w:rsid w:val="6F205B94"/>
    <w:rsid w:val="6F6F6B86"/>
    <w:rsid w:val="6FA275BE"/>
    <w:rsid w:val="6FC27339"/>
    <w:rsid w:val="70277F59"/>
    <w:rsid w:val="702E7993"/>
    <w:rsid w:val="704949D2"/>
    <w:rsid w:val="70575F5B"/>
    <w:rsid w:val="707164E5"/>
    <w:rsid w:val="70921137"/>
    <w:rsid w:val="70A740C9"/>
    <w:rsid w:val="71121D09"/>
    <w:rsid w:val="71236940"/>
    <w:rsid w:val="71B33EAD"/>
    <w:rsid w:val="71CE46EB"/>
    <w:rsid w:val="721B1C8E"/>
    <w:rsid w:val="72970C78"/>
    <w:rsid w:val="72B4514E"/>
    <w:rsid w:val="73227717"/>
    <w:rsid w:val="7329728B"/>
    <w:rsid w:val="733B4F53"/>
    <w:rsid w:val="73524F1B"/>
    <w:rsid w:val="73583EF7"/>
    <w:rsid w:val="736733ED"/>
    <w:rsid w:val="738B56F9"/>
    <w:rsid w:val="73AB00CD"/>
    <w:rsid w:val="73B01202"/>
    <w:rsid w:val="73E311F1"/>
    <w:rsid w:val="73E85DAF"/>
    <w:rsid w:val="746744B8"/>
    <w:rsid w:val="74855E4B"/>
    <w:rsid w:val="74941B0C"/>
    <w:rsid w:val="749C67DD"/>
    <w:rsid w:val="74E369B0"/>
    <w:rsid w:val="74E41EBF"/>
    <w:rsid w:val="751721FE"/>
    <w:rsid w:val="754171C8"/>
    <w:rsid w:val="75CD5B5F"/>
    <w:rsid w:val="75E03680"/>
    <w:rsid w:val="7677512A"/>
    <w:rsid w:val="77326170"/>
    <w:rsid w:val="77451348"/>
    <w:rsid w:val="77E37D2F"/>
    <w:rsid w:val="78641656"/>
    <w:rsid w:val="78A33C25"/>
    <w:rsid w:val="795276A3"/>
    <w:rsid w:val="79FF059F"/>
    <w:rsid w:val="7A035763"/>
    <w:rsid w:val="7A1B4B56"/>
    <w:rsid w:val="7A552597"/>
    <w:rsid w:val="7A6A64AB"/>
    <w:rsid w:val="7A812603"/>
    <w:rsid w:val="7A904904"/>
    <w:rsid w:val="7B8873A8"/>
    <w:rsid w:val="7BBE6EBB"/>
    <w:rsid w:val="7BD65F56"/>
    <w:rsid w:val="7C2905ED"/>
    <w:rsid w:val="7C914697"/>
    <w:rsid w:val="7CFA7184"/>
    <w:rsid w:val="7D1E4FCB"/>
    <w:rsid w:val="7D6D4E19"/>
    <w:rsid w:val="7D6E1B25"/>
    <w:rsid w:val="7D8F1C73"/>
    <w:rsid w:val="7DA24033"/>
    <w:rsid w:val="7DB6075C"/>
    <w:rsid w:val="7E095DB5"/>
    <w:rsid w:val="7E0C45FE"/>
    <w:rsid w:val="7E0F3047"/>
    <w:rsid w:val="7E1A70F0"/>
    <w:rsid w:val="7E4108BE"/>
    <w:rsid w:val="7EE93F82"/>
    <w:rsid w:val="7F4D70F3"/>
    <w:rsid w:val="7F6231E9"/>
    <w:rsid w:val="7F714384"/>
    <w:rsid w:val="7FC54EC5"/>
    <w:rsid w:val="7FFA63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widowControl/>
      <w:spacing w:line="413" w:lineRule="auto"/>
      <w:ind w:left="300" w:leftChars="300"/>
      <w:outlineLvl w:val="1"/>
    </w:pPr>
    <w:rPr>
      <w:rFonts w:ascii="Arial" w:hAnsi="Arial" w:eastAsia="楷体"/>
      <w:sz w:val="32"/>
      <w:szCs w:val="20"/>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Lines="50" w:afterLines="50" w:line="360" w:lineRule="auto"/>
      <w:ind w:firstLine="480" w:firstLineChars="200"/>
    </w:pPr>
    <w:rPr>
      <w:kern w:val="0"/>
      <w:sz w:val="24"/>
      <w:szCs w:val="20"/>
    </w:rPr>
  </w:style>
  <w:style w:type="paragraph" w:styleId="4">
    <w:name w:val="annotation text"/>
    <w:basedOn w:val="1"/>
    <w:link w:val="32"/>
    <w:unhideWhenUsed/>
    <w:qFormat/>
    <w:uiPriority w:val="0"/>
    <w:pPr>
      <w:jc w:val="left"/>
    </w:pPr>
  </w:style>
  <w:style w:type="paragraph" w:styleId="5">
    <w:name w:val="Body Text"/>
    <w:basedOn w:val="1"/>
    <w:next w:val="6"/>
    <w:link w:val="29"/>
    <w:unhideWhenUsed/>
    <w:qFormat/>
    <w:uiPriority w:val="99"/>
    <w:pPr>
      <w:spacing w:after="120"/>
    </w:pPr>
  </w:style>
  <w:style w:type="paragraph" w:styleId="6">
    <w:name w:val="toc 5"/>
    <w:basedOn w:val="1"/>
    <w:next w:val="1"/>
    <w:qFormat/>
    <w:uiPriority w:val="0"/>
    <w:pPr>
      <w:ind w:left="1680" w:leftChars="800"/>
    </w:pPr>
  </w:style>
  <w:style w:type="paragraph" w:styleId="7">
    <w:name w:val="toc 3"/>
    <w:basedOn w:val="1"/>
    <w:next w:val="1"/>
    <w:qFormat/>
    <w:uiPriority w:val="0"/>
    <w:pPr>
      <w:ind w:left="840" w:leftChars="400"/>
    </w:pPr>
  </w:style>
  <w:style w:type="paragraph" w:styleId="8">
    <w:name w:val="Balloon Text"/>
    <w:basedOn w:val="1"/>
    <w:link w:val="27"/>
    <w:qFormat/>
    <w:uiPriority w:val="0"/>
    <w:rPr>
      <w:sz w:val="18"/>
      <w:szCs w:val="18"/>
    </w:rPr>
  </w:style>
  <w:style w:type="paragraph" w:styleId="9">
    <w:name w:val="footer"/>
    <w:basedOn w:val="1"/>
    <w:link w:val="37"/>
    <w:qFormat/>
    <w:uiPriority w:val="99"/>
    <w:pPr>
      <w:tabs>
        <w:tab w:val="center" w:pos="4153"/>
        <w:tab w:val="right" w:pos="8306"/>
      </w:tabs>
      <w:snapToGrid w:val="0"/>
      <w:jc w:val="left"/>
    </w:pPr>
    <w:rPr>
      <w:sz w:val="18"/>
    </w:rPr>
  </w:style>
  <w:style w:type="paragraph" w:styleId="10">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footnote text"/>
    <w:basedOn w:val="1"/>
    <w:qFormat/>
    <w:uiPriority w:val="0"/>
    <w:pPr>
      <w:snapToGrid w:val="0"/>
      <w:jc w:val="left"/>
    </w:pPr>
    <w:rPr>
      <w:sz w:val="18"/>
    </w:rPr>
  </w:style>
  <w:style w:type="paragraph" w:styleId="13">
    <w:name w:val="toc 2"/>
    <w:basedOn w:val="1"/>
    <w:next w:val="1"/>
    <w:qFormat/>
    <w:uiPriority w:val="0"/>
    <w:pPr>
      <w:ind w:left="420" w:leftChars="200"/>
    </w:pPr>
  </w:style>
  <w:style w:type="paragraph" w:styleId="14">
    <w:name w:val="annotation subject"/>
    <w:basedOn w:val="4"/>
    <w:next w:val="4"/>
    <w:link w:val="33"/>
    <w:unhideWhenUsed/>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annotation reference"/>
    <w:basedOn w:val="17"/>
    <w:unhideWhenUsed/>
    <w:qFormat/>
    <w:uiPriority w:val="0"/>
    <w:rPr>
      <w:sz w:val="21"/>
      <w:szCs w:val="21"/>
    </w:rPr>
  </w:style>
  <w:style w:type="character" w:styleId="21">
    <w:name w:val="footnote reference"/>
    <w:basedOn w:val="17"/>
    <w:qFormat/>
    <w:uiPriority w:val="0"/>
    <w:rPr>
      <w:vertAlign w:val="superscript"/>
    </w:rPr>
  </w:style>
  <w:style w:type="character" w:customStyle="1" w:styleId="22">
    <w:name w:val="font01"/>
    <w:basedOn w:val="17"/>
    <w:qFormat/>
    <w:uiPriority w:val="0"/>
    <w:rPr>
      <w:rFonts w:hint="eastAsia" w:ascii="宋体" w:hAnsi="宋体" w:eastAsia="宋体" w:cs="宋体"/>
      <w:color w:val="000000"/>
      <w:sz w:val="24"/>
      <w:szCs w:val="24"/>
      <w:u w:val="none"/>
    </w:rPr>
  </w:style>
  <w:style w:type="character" w:customStyle="1" w:styleId="23">
    <w:name w:val="font21"/>
    <w:basedOn w:val="17"/>
    <w:qFormat/>
    <w:uiPriority w:val="0"/>
    <w:rPr>
      <w:rFonts w:hint="default" w:ascii="Calibri" w:hAnsi="Calibri" w:cs="Calibri"/>
      <w:color w:val="000000"/>
      <w:sz w:val="24"/>
      <w:szCs w:val="24"/>
      <w:u w:val="none"/>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7">
    <w:name w:val="批注框文本 Char"/>
    <w:basedOn w:val="17"/>
    <w:link w:val="8"/>
    <w:qFormat/>
    <w:uiPriority w:val="0"/>
    <w:rPr>
      <w:rFonts w:asciiTheme="minorHAnsi" w:hAnsiTheme="minorHAnsi" w:eastAsiaTheme="minorEastAsia" w:cstheme="minorBidi"/>
      <w:kern w:val="2"/>
      <w:sz w:val="18"/>
      <w:szCs w:val="18"/>
    </w:rPr>
  </w:style>
  <w:style w:type="paragraph" w:customStyle="1" w:styleId="28">
    <w:name w:val="列表段落1"/>
    <w:basedOn w:val="1"/>
    <w:qFormat/>
    <w:uiPriority w:val="99"/>
    <w:pPr>
      <w:ind w:firstLine="420" w:firstLineChars="200"/>
    </w:pPr>
  </w:style>
  <w:style w:type="character" w:customStyle="1" w:styleId="29">
    <w:name w:val="正文文本 Char"/>
    <w:basedOn w:val="17"/>
    <w:link w:val="5"/>
    <w:qFormat/>
    <w:uiPriority w:val="99"/>
    <w:rPr>
      <w:rFonts w:asciiTheme="minorHAnsi" w:hAnsiTheme="minorHAnsi" w:eastAsiaTheme="minorEastAsia" w:cstheme="minorBidi"/>
      <w:kern w:val="2"/>
      <w:sz w:val="21"/>
      <w:szCs w:val="24"/>
    </w:rPr>
  </w:style>
  <w:style w:type="character" w:customStyle="1" w:styleId="30">
    <w:name w:val="Body text|1_"/>
    <w:basedOn w:val="17"/>
    <w:link w:val="31"/>
    <w:qFormat/>
    <w:uiPriority w:val="0"/>
    <w:rPr>
      <w:rFonts w:ascii="宋体" w:hAnsi="宋体" w:cs="宋体"/>
      <w:color w:val="000000"/>
      <w:sz w:val="30"/>
      <w:szCs w:val="30"/>
      <w:lang w:val="zh-TW" w:eastAsia="zh-TW" w:bidi="zh-TW"/>
    </w:rPr>
  </w:style>
  <w:style w:type="paragraph" w:customStyle="1" w:styleId="31">
    <w:name w:val="Body text|1"/>
    <w:basedOn w:val="1"/>
    <w:link w:val="30"/>
    <w:qFormat/>
    <w:uiPriority w:val="0"/>
    <w:pPr>
      <w:spacing w:line="415" w:lineRule="auto"/>
      <w:ind w:firstLine="400"/>
      <w:jc w:val="left"/>
    </w:pPr>
    <w:rPr>
      <w:rFonts w:ascii="宋体" w:hAnsi="宋体" w:eastAsia="宋体" w:cs="宋体"/>
      <w:color w:val="000000"/>
      <w:kern w:val="0"/>
      <w:sz w:val="30"/>
      <w:szCs w:val="30"/>
      <w:lang w:val="zh-TW" w:eastAsia="zh-TW" w:bidi="zh-TW"/>
    </w:rPr>
  </w:style>
  <w:style w:type="character" w:customStyle="1" w:styleId="32">
    <w:name w:val="批注文字 Char"/>
    <w:basedOn w:val="17"/>
    <w:link w:val="4"/>
    <w:qFormat/>
    <w:uiPriority w:val="0"/>
    <w:rPr>
      <w:rFonts w:asciiTheme="minorHAnsi" w:hAnsiTheme="minorHAnsi" w:eastAsiaTheme="minorEastAsia" w:cstheme="minorBidi"/>
      <w:kern w:val="2"/>
      <w:sz w:val="21"/>
      <w:szCs w:val="24"/>
    </w:rPr>
  </w:style>
  <w:style w:type="character" w:customStyle="1" w:styleId="33">
    <w:name w:val="批注主题 Char"/>
    <w:basedOn w:val="32"/>
    <w:link w:val="14"/>
    <w:semiHidden/>
    <w:qFormat/>
    <w:uiPriority w:val="0"/>
    <w:rPr>
      <w:rFonts w:asciiTheme="minorHAnsi" w:hAnsiTheme="minorHAnsi" w:eastAsiaTheme="minorEastAsia" w:cstheme="minorBidi"/>
      <w:b/>
      <w:bCs/>
      <w:kern w:val="2"/>
      <w:sz w:val="21"/>
      <w:szCs w:val="24"/>
    </w:rPr>
  </w:style>
  <w:style w:type="paragraph" w:customStyle="1" w:styleId="34">
    <w:name w:val="列出段落1"/>
    <w:basedOn w:val="1"/>
    <w:qFormat/>
    <w:uiPriority w:val="99"/>
    <w:pPr>
      <w:ind w:firstLine="420" w:firstLineChars="200"/>
    </w:pPr>
  </w:style>
  <w:style w:type="character" w:customStyle="1" w:styleId="35">
    <w:name w:val="页眉 Char"/>
    <w:basedOn w:val="17"/>
    <w:link w:val="10"/>
    <w:qFormat/>
    <w:uiPriority w:val="99"/>
    <w:rPr>
      <w:rFonts w:asciiTheme="minorHAnsi" w:hAnsiTheme="minorHAnsi" w:eastAsiaTheme="minorEastAsia" w:cstheme="minorBidi"/>
      <w:kern w:val="2"/>
      <w:sz w:val="18"/>
      <w:szCs w:val="24"/>
    </w:rPr>
  </w:style>
  <w:style w:type="paragraph" w:styleId="36">
    <w:name w:val="List Paragraph"/>
    <w:basedOn w:val="1"/>
    <w:unhideWhenUsed/>
    <w:qFormat/>
    <w:uiPriority w:val="99"/>
    <w:pPr>
      <w:ind w:firstLine="420" w:firstLineChars="200"/>
    </w:pPr>
  </w:style>
  <w:style w:type="character" w:customStyle="1" w:styleId="37">
    <w:name w:val="页脚 Char"/>
    <w:basedOn w:val="17"/>
    <w:link w:val="9"/>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448</Words>
  <Characters>2555</Characters>
  <Lines>21</Lines>
  <Paragraphs>5</Paragraphs>
  <TotalTime>4</TotalTime>
  <ScaleCrop>false</ScaleCrop>
  <LinksUpToDate>false</LinksUpToDate>
  <CharactersWithSpaces>2998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2021-11-14T02:47:00Z</dcterms:created>
  <dc:creator>Administrator</dc:creator>
  <cp:lastModifiedBy>贾慕熙</cp:lastModifiedBy>
  <cp:lastPrinted>2021-10-20T08:25:00Z</cp:lastPrinted>
  <dcterms:modified xsi:type="dcterms:W3CDTF">2022-05-16T09:15:39Z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41DF8C68E44A49FA92E650A6E19647A4</vt:lpwstr>
  </property>
</Properties>
</file>